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432B0C" w:rsidRDefault="00432B0C">
      <w:pPr>
        <w:jc w:val="center"/>
        <w:rPr>
          <w:rFonts w:asciiTheme="majorHAnsi" w:hAnsiTheme="majorHAnsi" w:cstheme="majorHAnsi"/>
          <w:b/>
          <w:bCs/>
          <w:u w:val="single"/>
        </w:rPr>
      </w:pPr>
      <w:r>
        <w:rPr>
          <w:rFonts w:asciiTheme="majorHAnsi" w:hAnsiTheme="majorHAnsi" w:cstheme="majorHAnsi"/>
          <w:b/>
          <w:bCs/>
          <w:noProof/>
          <w:u w:val="single"/>
        </w:rPr>
        <w:drawing>
          <wp:inline distT="0" distB="0" distL="0" distR="0">
            <wp:extent cx="2097741" cy="1373609"/>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Ordine degli Avvocati di Milan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102238" cy="1376553"/>
                    </a:xfrm>
                    <a:prstGeom prst="rect">
                      <a:avLst/>
                    </a:prstGeom>
                  </pic:spPr>
                </pic:pic>
              </a:graphicData>
            </a:graphic>
          </wp:inline>
        </w:drawing>
      </w:r>
    </w:p>
    <w:p w:rsidR="00432B0C" w:rsidRDefault="00432B0C">
      <w:pPr>
        <w:jc w:val="center"/>
        <w:rPr>
          <w:rFonts w:asciiTheme="majorHAnsi" w:hAnsiTheme="majorHAnsi" w:cstheme="majorHAnsi"/>
          <w:b/>
          <w:bCs/>
          <w:u w:val="single"/>
        </w:rPr>
      </w:pPr>
    </w:p>
    <w:p w:rsidR="00B44575" w:rsidRDefault="00B44575">
      <w:pPr>
        <w:jc w:val="center"/>
        <w:rPr>
          <w:rFonts w:asciiTheme="majorHAnsi" w:hAnsiTheme="majorHAnsi" w:cstheme="majorHAnsi"/>
          <w:b/>
          <w:bCs/>
          <w:sz w:val="32"/>
          <w:szCs w:val="32"/>
        </w:rPr>
      </w:pPr>
      <w:r w:rsidRPr="004A6AD0">
        <w:rPr>
          <w:rFonts w:asciiTheme="majorHAnsi" w:hAnsiTheme="majorHAnsi" w:cstheme="majorHAnsi"/>
          <w:b/>
          <w:bCs/>
          <w:sz w:val="32"/>
          <w:szCs w:val="32"/>
        </w:rPr>
        <w:t>FAQ IN TEMA DI LOCAZIONI E SFRATTI</w:t>
      </w:r>
    </w:p>
    <w:p w:rsidR="004A6AD0" w:rsidRPr="004A6AD0" w:rsidRDefault="004A6AD0">
      <w:pPr>
        <w:jc w:val="center"/>
        <w:rPr>
          <w:rFonts w:asciiTheme="majorHAnsi" w:hAnsiTheme="majorHAnsi" w:cstheme="majorHAnsi"/>
          <w:b/>
          <w:bCs/>
          <w:sz w:val="32"/>
          <w:szCs w:val="32"/>
        </w:rPr>
      </w:pPr>
    </w:p>
    <w:p w:rsidR="00B44575" w:rsidRPr="00432B0C" w:rsidRDefault="00B44575" w:rsidP="004A6AD0">
      <w:pPr>
        <w:numPr>
          <w:ilvl w:val="0"/>
          <w:numId w:val="7"/>
        </w:numPr>
        <w:rPr>
          <w:rFonts w:asciiTheme="majorHAnsi" w:hAnsiTheme="majorHAnsi" w:cstheme="majorHAnsi"/>
        </w:rPr>
      </w:pPr>
      <w:r w:rsidRPr="00432B0C">
        <w:rPr>
          <w:rFonts w:asciiTheme="majorHAnsi" w:hAnsiTheme="majorHAnsi" w:cstheme="majorHAnsi"/>
          <w:b/>
          <w:bCs/>
        </w:rPr>
        <w:t xml:space="preserve">Quali sono le principali fonti normative e regolamentari che disciplinano le procedure di sfratto e le esecuzioni per rilascio di </w:t>
      </w:r>
      <w:proofErr w:type="gramStart"/>
      <w:r w:rsidRPr="00432B0C">
        <w:rPr>
          <w:rFonts w:asciiTheme="majorHAnsi" w:hAnsiTheme="majorHAnsi" w:cstheme="majorHAnsi"/>
          <w:b/>
          <w:bCs/>
        </w:rPr>
        <w:t>immobile ?</w:t>
      </w:r>
      <w:proofErr w:type="gramEnd"/>
    </w:p>
    <w:p w:rsidR="00B44575" w:rsidRPr="00432B0C" w:rsidRDefault="00B44575">
      <w:pPr>
        <w:rPr>
          <w:rFonts w:asciiTheme="majorHAnsi" w:hAnsiTheme="majorHAnsi" w:cstheme="majorHAnsi"/>
        </w:rPr>
      </w:pPr>
      <w:r w:rsidRPr="00432B0C">
        <w:rPr>
          <w:rFonts w:asciiTheme="majorHAnsi" w:hAnsiTheme="majorHAnsi" w:cstheme="majorHAnsi"/>
        </w:rPr>
        <w:t xml:space="preserve">D.L. 18/2020 convertito in legge 24 aprile 2020, n. 27, art. 83 comma 1, 2, 7 lett. f, g, h.: </w:t>
      </w:r>
      <w:hyperlink r:id="rId6" w:history="1">
        <w:r w:rsidRPr="00432B0C">
          <w:rPr>
            <w:rStyle w:val="Collegamentoipertestuale"/>
            <w:rFonts w:asciiTheme="majorHAnsi" w:hAnsiTheme="majorHAnsi" w:cstheme="majorHAnsi"/>
          </w:rPr>
          <w:t>https://www.gazzettaufficiale.it/atto/serie_generale/caricaDettaglioAtto/originario?atto.dataPubblicazioneGazzetta=2020-04-29&amp;atto.codiceRedazionale=20A02357&amp;elenco30giorni=false</w:t>
        </w:r>
      </w:hyperlink>
    </w:p>
    <w:p w:rsidR="00B44575" w:rsidRPr="00432B0C" w:rsidRDefault="00B44575">
      <w:pPr>
        <w:rPr>
          <w:rFonts w:asciiTheme="majorHAnsi" w:hAnsiTheme="majorHAnsi" w:cstheme="majorHAnsi"/>
        </w:rPr>
      </w:pPr>
      <w:r w:rsidRPr="00432B0C">
        <w:rPr>
          <w:rFonts w:asciiTheme="majorHAnsi" w:hAnsiTheme="majorHAnsi" w:cstheme="majorHAnsi"/>
        </w:rPr>
        <w:t xml:space="preserve">DL 8/4/2020 N. 23: </w:t>
      </w:r>
      <w:hyperlink r:id="rId7" w:history="1">
        <w:r w:rsidRPr="00432B0C">
          <w:rPr>
            <w:rStyle w:val="Collegamentoipertestuale"/>
            <w:rFonts w:asciiTheme="majorHAnsi" w:hAnsiTheme="majorHAnsi" w:cstheme="majorHAnsi"/>
          </w:rPr>
          <w:t>https://www.gazzettaufficiale.it/eli/id/2020/04/08/20G00043/s</w:t>
        </w:r>
      </w:hyperlink>
    </w:p>
    <w:p w:rsidR="00B44575" w:rsidRPr="00432B0C" w:rsidRDefault="00B44575">
      <w:pPr>
        <w:rPr>
          <w:rFonts w:asciiTheme="majorHAnsi" w:hAnsiTheme="majorHAnsi" w:cstheme="majorHAnsi"/>
        </w:rPr>
      </w:pPr>
      <w:r w:rsidRPr="00432B0C">
        <w:rPr>
          <w:rFonts w:asciiTheme="majorHAnsi" w:hAnsiTheme="majorHAnsi" w:cstheme="majorHAnsi"/>
        </w:rPr>
        <w:t xml:space="preserve">Linee guida del Presidente del Tribunale di Milano del 07.05.20: </w:t>
      </w:r>
      <w:hyperlink r:id="rId8" w:history="1">
        <w:r w:rsidRPr="00432B0C">
          <w:rPr>
            <w:rStyle w:val="Collegamentoipertestuale"/>
            <w:rFonts w:asciiTheme="majorHAnsi" w:hAnsiTheme="majorHAnsi" w:cstheme="majorHAnsi"/>
          </w:rPr>
          <w:t>https://www.ordineavvocatimilano.it/media/news/MAGGIO 2020/tribunalemilano6620.pdf</w:t>
        </w:r>
      </w:hyperlink>
    </w:p>
    <w:p w:rsidR="00B44575" w:rsidRPr="00432B0C" w:rsidRDefault="00B44575">
      <w:pPr>
        <w:rPr>
          <w:rFonts w:asciiTheme="majorHAnsi" w:hAnsiTheme="majorHAnsi" w:cstheme="majorHAnsi"/>
        </w:rPr>
      </w:pPr>
      <w:r w:rsidRPr="00432B0C">
        <w:rPr>
          <w:rFonts w:asciiTheme="majorHAnsi" w:hAnsiTheme="majorHAnsi" w:cstheme="majorHAnsi"/>
        </w:rPr>
        <w:t xml:space="preserve">Linee guida della Presidente della Sezione XIII Civile del Tribunale di Milano, del 12.05.20: </w:t>
      </w:r>
      <w:hyperlink r:id="rId9" w:history="1">
        <w:r w:rsidRPr="00432B0C">
          <w:rPr>
            <w:rStyle w:val="Collegamentoipertestuale"/>
            <w:rFonts w:asciiTheme="majorHAnsi" w:hAnsiTheme="majorHAnsi" w:cstheme="majorHAnsi"/>
          </w:rPr>
          <w:t>https://www.ordineavvocatimilano.it/media/news/MAGGIO 2020/LINEE GUIDA MILANO XIII Sezione CIV 12 maggio.pdf</w:t>
        </w:r>
      </w:hyperlink>
      <w:r w:rsidRPr="00432B0C">
        <w:rPr>
          <w:rFonts w:asciiTheme="majorHAnsi" w:hAnsiTheme="majorHAnsi" w:cstheme="majorHAnsi"/>
        </w:rPr>
        <w:t xml:space="preserve"> </w:t>
      </w:r>
    </w:p>
    <w:p w:rsidR="00B44575" w:rsidRPr="00432B0C" w:rsidRDefault="00B44575">
      <w:pPr>
        <w:rPr>
          <w:rFonts w:asciiTheme="majorHAnsi" w:hAnsiTheme="majorHAnsi" w:cstheme="majorHAnsi"/>
          <w:b/>
          <w:bCs/>
          <w:u w:val="single"/>
        </w:rPr>
      </w:pPr>
      <w:r w:rsidRPr="00432B0C">
        <w:rPr>
          <w:rFonts w:asciiTheme="majorHAnsi" w:hAnsiTheme="majorHAnsi" w:cstheme="majorHAnsi"/>
        </w:rPr>
        <w:t xml:space="preserve">Avviso UNEP valido dal 12/5/2020: </w:t>
      </w:r>
      <w:hyperlink r:id="rId10" w:history="1">
        <w:r w:rsidRPr="00432B0C">
          <w:rPr>
            <w:rStyle w:val="Collegamentoipertestuale"/>
            <w:rFonts w:asciiTheme="majorHAnsi" w:hAnsiTheme="majorHAnsi" w:cstheme="majorHAnsi"/>
          </w:rPr>
          <w:t>https://www.ordineavvocatimilano.it/media/UNEP COVID 19 FASE 2.pdf</w:t>
        </w:r>
      </w:hyperlink>
    </w:p>
    <w:p w:rsidR="00432B0C" w:rsidRDefault="00432B0C">
      <w:pPr>
        <w:jc w:val="center"/>
        <w:rPr>
          <w:rFonts w:asciiTheme="majorHAnsi" w:hAnsiTheme="majorHAnsi" w:cstheme="majorHAnsi"/>
          <w:b/>
          <w:bCs/>
          <w:u w:val="single"/>
        </w:rPr>
      </w:pPr>
    </w:p>
    <w:p w:rsidR="00B44575" w:rsidRPr="00432B0C" w:rsidRDefault="00B44575">
      <w:pPr>
        <w:jc w:val="center"/>
        <w:rPr>
          <w:rFonts w:asciiTheme="majorHAnsi" w:hAnsiTheme="majorHAnsi" w:cstheme="majorHAnsi"/>
          <w:b/>
          <w:bCs/>
        </w:rPr>
      </w:pPr>
      <w:r w:rsidRPr="00432B0C">
        <w:rPr>
          <w:rFonts w:asciiTheme="majorHAnsi" w:hAnsiTheme="majorHAnsi" w:cstheme="majorHAnsi"/>
          <w:b/>
          <w:bCs/>
          <w:u w:val="single"/>
        </w:rPr>
        <w:t>MEDIAZIONI</w:t>
      </w:r>
    </w:p>
    <w:p w:rsidR="00B44575" w:rsidRPr="00432B0C" w:rsidRDefault="00B44575" w:rsidP="004A6AD0">
      <w:pPr>
        <w:pStyle w:val="ListParagraph"/>
        <w:numPr>
          <w:ilvl w:val="0"/>
          <w:numId w:val="8"/>
        </w:numPr>
        <w:jc w:val="both"/>
        <w:rPr>
          <w:rFonts w:asciiTheme="majorHAnsi" w:hAnsiTheme="majorHAnsi" w:cstheme="majorHAnsi"/>
        </w:rPr>
      </w:pPr>
      <w:r w:rsidRPr="00432B0C">
        <w:rPr>
          <w:rFonts w:asciiTheme="majorHAnsi" w:hAnsiTheme="majorHAnsi" w:cstheme="majorHAnsi"/>
          <w:b/>
          <w:bCs/>
        </w:rPr>
        <w:t xml:space="preserve">Le cause aventi ad oggetto contratti di locazione e di comodato richiedono come condizione di procedibilità l’esperimento del tentativo di </w:t>
      </w:r>
      <w:proofErr w:type="gramStart"/>
      <w:r w:rsidRPr="00432B0C">
        <w:rPr>
          <w:rFonts w:asciiTheme="majorHAnsi" w:hAnsiTheme="majorHAnsi" w:cstheme="majorHAnsi"/>
          <w:b/>
          <w:bCs/>
        </w:rPr>
        <w:t>mediazione ?</w:t>
      </w:r>
      <w:proofErr w:type="gramEnd"/>
    </w:p>
    <w:p w:rsidR="00B44575" w:rsidRPr="00432B0C" w:rsidRDefault="00B44575">
      <w:pPr>
        <w:jc w:val="both"/>
        <w:rPr>
          <w:rFonts w:asciiTheme="majorHAnsi" w:hAnsiTheme="majorHAnsi" w:cstheme="majorHAnsi"/>
        </w:rPr>
      </w:pPr>
      <w:r w:rsidRPr="00432B0C">
        <w:rPr>
          <w:rFonts w:asciiTheme="majorHAnsi" w:hAnsiTheme="majorHAnsi" w:cstheme="majorHAnsi"/>
        </w:rPr>
        <w:t xml:space="preserve">Si. </w:t>
      </w:r>
      <w:proofErr w:type="gramStart"/>
      <w:r w:rsidRPr="00432B0C">
        <w:rPr>
          <w:rFonts w:asciiTheme="majorHAnsi" w:hAnsiTheme="majorHAnsi" w:cstheme="majorHAnsi"/>
        </w:rPr>
        <w:t>Le controversie aventi ad oggetto contratti di comodato e locazione,</w:t>
      </w:r>
      <w:proofErr w:type="gramEnd"/>
      <w:r w:rsidRPr="00432B0C">
        <w:rPr>
          <w:rFonts w:asciiTheme="majorHAnsi" w:hAnsiTheme="majorHAnsi" w:cstheme="majorHAnsi"/>
        </w:rPr>
        <w:t xml:space="preserve"> appartengono al novero delle materie soggette alla mediazione obbligatoria. Prima di procedere giudizialmente è quindi necessario esperire il tentativo di mediazione. </w:t>
      </w:r>
    </w:p>
    <w:p w:rsidR="00B44575" w:rsidRPr="00432B0C" w:rsidRDefault="00B44575">
      <w:pPr>
        <w:jc w:val="both"/>
        <w:rPr>
          <w:rFonts w:asciiTheme="majorHAnsi" w:hAnsiTheme="majorHAnsi" w:cstheme="majorHAnsi"/>
          <w:b/>
          <w:bCs/>
        </w:rPr>
      </w:pPr>
      <w:r w:rsidRPr="00432B0C">
        <w:rPr>
          <w:rFonts w:asciiTheme="majorHAnsi" w:hAnsiTheme="majorHAnsi" w:cstheme="majorHAnsi"/>
        </w:rPr>
        <w:t>Non è soggetto a mediazione obbligatoria il procedimento di intimazione di sfratto o di licenza (artt. 657.658 cpc), ma il tentativo di mediazione è obbligatorio per procedere nel giudizio di opposizione alla licenza o allo sfratto.</w:t>
      </w:r>
    </w:p>
    <w:p w:rsidR="00B44575" w:rsidRPr="004A6AD0" w:rsidRDefault="00B44575" w:rsidP="004A6AD0">
      <w:pPr>
        <w:pStyle w:val="ListParagraph"/>
        <w:numPr>
          <w:ilvl w:val="0"/>
          <w:numId w:val="9"/>
        </w:numPr>
        <w:jc w:val="both"/>
        <w:rPr>
          <w:rFonts w:asciiTheme="majorHAnsi" w:hAnsiTheme="majorHAnsi" w:cstheme="majorHAnsi"/>
          <w:b/>
          <w:bCs/>
        </w:rPr>
      </w:pPr>
      <w:r w:rsidRPr="00432B0C">
        <w:rPr>
          <w:rFonts w:asciiTheme="majorHAnsi" w:hAnsiTheme="majorHAnsi" w:cstheme="majorHAnsi"/>
          <w:b/>
          <w:bCs/>
        </w:rPr>
        <w:t>E’ possibile svolgere la mediazione on-</w:t>
      </w:r>
      <w:proofErr w:type="gramStart"/>
      <w:r w:rsidRPr="00432B0C">
        <w:rPr>
          <w:rFonts w:asciiTheme="majorHAnsi" w:hAnsiTheme="majorHAnsi" w:cstheme="majorHAnsi"/>
          <w:b/>
          <w:bCs/>
        </w:rPr>
        <w:t>line ?</w:t>
      </w:r>
      <w:proofErr w:type="gramEnd"/>
    </w:p>
    <w:p w:rsidR="00B44575" w:rsidRPr="00432B0C" w:rsidRDefault="00B44575">
      <w:pPr>
        <w:jc w:val="both"/>
        <w:rPr>
          <w:rFonts w:asciiTheme="majorHAnsi" w:hAnsiTheme="majorHAnsi" w:cstheme="majorHAnsi"/>
          <w:b/>
          <w:bCs/>
        </w:rPr>
      </w:pPr>
      <w:r w:rsidRPr="00432B0C">
        <w:rPr>
          <w:rFonts w:asciiTheme="majorHAnsi" w:hAnsiTheme="majorHAnsi" w:cstheme="majorHAnsi"/>
        </w:rPr>
        <w:t>Si, se vi è il consenso di tutte e parti.</w:t>
      </w:r>
    </w:p>
    <w:p w:rsidR="00B44575" w:rsidRPr="00432B0C" w:rsidRDefault="00B44575" w:rsidP="004A6AD0">
      <w:pPr>
        <w:pStyle w:val="ListParagraph"/>
        <w:numPr>
          <w:ilvl w:val="0"/>
          <w:numId w:val="10"/>
        </w:numPr>
        <w:jc w:val="both"/>
        <w:rPr>
          <w:rFonts w:asciiTheme="majorHAnsi" w:hAnsiTheme="majorHAnsi" w:cstheme="majorHAnsi"/>
        </w:rPr>
      </w:pPr>
      <w:r w:rsidRPr="00432B0C">
        <w:rPr>
          <w:rFonts w:asciiTheme="majorHAnsi" w:hAnsiTheme="majorHAnsi" w:cstheme="majorHAnsi"/>
          <w:b/>
          <w:bCs/>
        </w:rPr>
        <w:t xml:space="preserve">E’ possibile svolgere la mediazione on-line presso l’Organismo di Conciliazione Forense di Milano via Freguglia n. </w:t>
      </w:r>
      <w:proofErr w:type="gramStart"/>
      <w:r w:rsidRPr="00432B0C">
        <w:rPr>
          <w:rFonts w:asciiTheme="majorHAnsi" w:hAnsiTheme="majorHAnsi" w:cstheme="majorHAnsi"/>
          <w:b/>
          <w:bCs/>
        </w:rPr>
        <w:t>14 ?</w:t>
      </w:r>
      <w:proofErr w:type="gramEnd"/>
    </w:p>
    <w:p w:rsidR="00B44575" w:rsidRPr="00432B0C" w:rsidRDefault="00B44575">
      <w:pPr>
        <w:jc w:val="both"/>
        <w:rPr>
          <w:rFonts w:asciiTheme="majorHAnsi" w:hAnsiTheme="majorHAnsi" w:cstheme="majorHAnsi"/>
        </w:rPr>
      </w:pPr>
      <w:r w:rsidRPr="00432B0C">
        <w:rPr>
          <w:rFonts w:asciiTheme="majorHAnsi" w:hAnsiTheme="majorHAnsi" w:cstheme="majorHAnsi"/>
        </w:rPr>
        <w:t xml:space="preserve">Si. Si deve inoltrare domanda in via telematica, caricando il documento direttamente sulla piattaforma </w:t>
      </w:r>
      <w:r w:rsidRPr="00432B0C">
        <w:rPr>
          <w:rFonts w:asciiTheme="majorHAnsi" w:hAnsiTheme="majorHAnsi" w:cstheme="majorHAnsi"/>
          <w:i/>
          <w:iCs/>
        </w:rPr>
        <w:t>Sfera</w:t>
      </w:r>
      <w:r w:rsidRPr="00432B0C">
        <w:rPr>
          <w:rFonts w:asciiTheme="majorHAnsi" w:hAnsiTheme="majorHAnsi" w:cstheme="majorHAnsi"/>
        </w:rPr>
        <w:t>, secondo le istruzioni pubblicate sul sito dell’Organismo.</w:t>
      </w:r>
    </w:p>
    <w:p w:rsidR="00B44575" w:rsidRPr="00432B0C" w:rsidRDefault="00B44575">
      <w:pPr>
        <w:jc w:val="both"/>
        <w:rPr>
          <w:rFonts w:asciiTheme="majorHAnsi" w:hAnsiTheme="majorHAnsi" w:cstheme="majorHAnsi"/>
          <w:b/>
          <w:bCs/>
        </w:rPr>
      </w:pPr>
      <w:r w:rsidRPr="00432B0C">
        <w:rPr>
          <w:rFonts w:asciiTheme="majorHAnsi" w:hAnsiTheme="majorHAnsi" w:cstheme="majorHAnsi"/>
        </w:rPr>
        <w:lastRenderedPageBreak/>
        <w:t>Sul sito dell’Organismo si trova anche il protocollo di svolgimento delle mediazioni.</w:t>
      </w:r>
    </w:p>
    <w:p w:rsidR="00B44575" w:rsidRPr="00432B0C" w:rsidRDefault="00B44575" w:rsidP="004A6AD0">
      <w:pPr>
        <w:pStyle w:val="ListParagraph"/>
        <w:numPr>
          <w:ilvl w:val="0"/>
          <w:numId w:val="11"/>
        </w:numPr>
        <w:jc w:val="both"/>
        <w:rPr>
          <w:rFonts w:asciiTheme="majorHAnsi" w:hAnsiTheme="majorHAnsi" w:cstheme="majorHAnsi"/>
        </w:rPr>
      </w:pPr>
      <w:r w:rsidRPr="00432B0C">
        <w:rPr>
          <w:rFonts w:asciiTheme="majorHAnsi" w:hAnsiTheme="majorHAnsi" w:cstheme="majorHAnsi"/>
          <w:b/>
          <w:bCs/>
        </w:rPr>
        <w:t xml:space="preserve">Si possono “trasformare” in mediazioni on-line anche quelle procedure iniziate in forma presenziale e introdotte in forma </w:t>
      </w:r>
      <w:proofErr w:type="gramStart"/>
      <w:r w:rsidRPr="00432B0C">
        <w:rPr>
          <w:rFonts w:asciiTheme="majorHAnsi" w:hAnsiTheme="majorHAnsi" w:cstheme="majorHAnsi"/>
          <w:b/>
          <w:bCs/>
        </w:rPr>
        <w:t>cartacea ?</w:t>
      </w:r>
      <w:proofErr w:type="gramEnd"/>
    </w:p>
    <w:p w:rsidR="00B44575" w:rsidRPr="00432B0C" w:rsidRDefault="00B44575">
      <w:pPr>
        <w:jc w:val="both"/>
        <w:rPr>
          <w:rFonts w:asciiTheme="majorHAnsi" w:hAnsiTheme="majorHAnsi" w:cstheme="majorHAnsi"/>
          <w:b/>
          <w:bCs/>
          <w:u w:val="single"/>
        </w:rPr>
      </w:pPr>
      <w:r w:rsidRPr="00432B0C">
        <w:rPr>
          <w:rFonts w:asciiTheme="majorHAnsi" w:hAnsiTheme="majorHAnsi" w:cstheme="majorHAnsi"/>
        </w:rPr>
        <w:t>Si, basta che vi sia l’accordo delle parti.</w:t>
      </w:r>
    </w:p>
    <w:p w:rsidR="00B44575" w:rsidRPr="00432B0C" w:rsidRDefault="00B44575">
      <w:pPr>
        <w:jc w:val="center"/>
        <w:rPr>
          <w:rFonts w:asciiTheme="majorHAnsi" w:hAnsiTheme="majorHAnsi" w:cstheme="majorHAnsi"/>
          <w:b/>
          <w:bCs/>
        </w:rPr>
      </w:pPr>
      <w:r w:rsidRPr="00432B0C">
        <w:rPr>
          <w:rFonts w:asciiTheme="majorHAnsi" w:hAnsiTheme="majorHAnsi" w:cstheme="majorHAnsi"/>
          <w:b/>
          <w:bCs/>
          <w:u w:val="single"/>
        </w:rPr>
        <w:t>CAUSE</w:t>
      </w:r>
    </w:p>
    <w:p w:rsidR="00B44575" w:rsidRPr="00432B0C" w:rsidRDefault="00B44575" w:rsidP="004A6AD0">
      <w:pPr>
        <w:pStyle w:val="ListParagraph"/>
        <w:numPr>
          <w:ilvl w:val="0"/>
          <w:numId w:val="12"/>
        </w:numPr>
        <w:jc w:val="both"/>
        <w:rPr>
          <w:rFonts w:asciiTheme="majorHAnsi" w:hAnsiTheme="majorHAnsi" w:cstheme="majorHAnsi"/>
        </w:rPr>
      </w:pPr>
      <w:r w:rsidRPr="00432B0C">
        <w:rPr>
          <w:rFonts w:asciiTheme="majorHAnsi" w:hAnsiTheme="majorHAnsi" w:cstheme="majorHAnsi"/>
          <w:b/>
          <w:bCs/>
        </w:rPr>
        <w:t xml:space="preserve">Si possono notificare gli atti ex art. 657 e 658 e </w:t>
      </w:r>
      <w:proofErr w:type="spellStart"/>
      <w:r w:rsidRPr="00432B0C">
        <w:rPr>
          <w:rFonts w:asciiTheme="majorHAnsi" w:hAnsiTheme="majorHAnsi" w:cstheme="majorHAnsi"/>
          <w:b/>
          <w:bCs/>
        </w:rPr>
        <w:t>segg.ti</w:t>
      </w:r>
      <w:proofErr w:type="spellEnd"/>
      <w:r w:rsidRPr="00432B0C">
        <w:rPr>
          <w:rFonts w:asciiTheme="majorHAnsi" w:hAnsiTheme="majorHAnsi" w:cstheme="majorHAnsi"/>
          <w:b/>
          <w:bCs/>
        </w:rPr>
        <w:t xml:space="preserve"> cpc </w:t>
      </w:r>
      <w:proofErr w:type="gramStart"/>
      <w:r w:rsidRPr="00432B0C">
        <w:rPr>
          <w:rFonts w:asciiTheme="majorHAnsi" w:hAnsiTheme="majorHAnsi" w:cstheme="majorHAnsi"/>
          <w:b/>
          <w:bCs/>
        </w:rPr>
        <w:t>di  intimazione</w:t>
      </w:r>
      <w:proofErr w:type="gramEnd"/>
      <w:r w:rsidRPr="00432B0C">
        <w:rPr>
          <w:rFonts w:asciiTheme="majorHAnsi" w:hAnsiTheme="majorHAnsi" w:cstheme="majorHAnsi"/>
          <w:b/>
          <w:bCs/>
        </w:rPr>
        <w:t xml:space="preserve"> di sfratto per morosità e finita locazione e di licenza  per finita locazione, e contestuale citazione per la convalida ?</w:t>
      </w:r>
    </w:p>
    <w:p w:rsidR="00B44575" w:rsidRPr="00432B0C" w:rsidRDefault="00B44575">
      <w:pPr>
        <w:jc w:val="both"/>
        <w:rPr>
          <w:rFonts w:asciiTheme="majorHAnsi" w:hAnsiTheme="majorHAnsi" w:cstheme="majorHAnsi"/>
          <w:b/>
          <w:bCs/>
        </w:rPr>
      </w:pPr>
      <w:r w:rsidRPr="00432B0C">
        <w:rPr>
          <w:rFonts w:asciiTheme="majorHAnsi" w:hAnsiTheme="majorHAnsi" w:cstheme="majorHAnsi"/>
        </w:rPr>
        <w:t>Si. Però bisogna tener conto dell’attuale disposizione dell’Ufficio UNEP, secondo cui, per la relativa notifica, verranno accettati solo gli atti scadenti nei 15 giorni successivi a quello della presentazione e, per l'effettiva celebrazione dell'udienza, di quanto disposto con il provvedimento del Presidente della Sez. XIII (§ 4, lett. c)</w:t>
      </w:r>
    </w:p>
    <w:p w:rsidR="00B44575" w:rsidRPr="00432B0C" w:rsidRDefault="00B44575" w:rsidP="004A6AD0">
      <w:pPr>
        <w:pStyle w:val="ListParagraph"/>
        <w:numPr>
          <w:ilvl w:val="0"/>
          <w:numId w:val="13"/>
        </w:numPr>
        <w:jc w:val="both"/>
        <w:rPr>
          <w:rFonts w:asciiTheme="majorHAnsi" w:hAnsiTheme="majorHAnsi" w:cstheme="majorHAnsi"/>
        </w:rPr>
      </w:pPr>
      <w:r w:rsidRPr="00432B0C">
        <w:rPr>
          <w:rFonts w:asciiTheme="majorHAnsi" w:hAnsiTheme="majorHAnsi" w:cstheme="majorHAnsi"/>
          <w:b/>
          <w:bCs/>
        </w:rPr>
        <w:t xml:space="preserve">Quando e come saranno rinviate le udienze di convalida non tenutesi per disposizione </w:t>
      </w:r>
      <w:r w:rsidRPr="00432B0C">
        <w:rPr>
          <w:rFonts w:asciiTheme="majorHAnsi" w:hAnsiTheme="majorHAnsi" w:cstheme="majorHAnsi"/>
          <w:b/>
          <w:bCs/>
          <w:i/>
          <w:iCs/>
        </w:rPr>
        <w:t>ex lege</w:t>
      </w:r>
      <w:r w:rsidRPr="00432B0C">
        <w:rPr>
          <w:rFonts w:asciiTheme="majorHAnsi" w:hAnsiTheme="majorHAnsi" w:cstheme="majorHAnsi"/>
          <w:b/>
          <w:bCs/>
        </w:rPr>
        <w:t xml:space="preserve"> nel periodo dal 04.03.20 al </w:t>
      </w:r>
      <w:proofErr w:type="gramStart"/>
      <w:r w:rsidRPr="00432B0C">
        <w:rPr>
          <w:rFonts w:asciiTheme="majorHAnsi" w:hAnsiTheme="majorHAnsi" w:cstheme="majorHAnsi"/>
          <w:b/>
          <w:bCs/>
        </w:rPr>
        <w:t>11.05.20 ?</w:t>
      </w:r>
      <w:proofErr w:type="gramEnd"/>
    </w:p>
    <w:p w:rsidR="00B44575" w:rsidRPr="00432B0C" w:rsidRDefault="00B44575">
      <w:pPr>
        <w:jc w:val="both"/>
        <w:rPr>
          <w:rFonts w:asciiTheme="majorHAnsi" w:hAnsiTheme="majorHAnsi" w:cstheme="majorHAnsi"/>
          <w:b/>
          <w:bCs/>
        </w:rPr>
      </w:pPr>
      <w:r w:rsidRPr="00432B0C">
        <w:rPr>
          <w:rFonts w:asciiTheme="majorHAnsi" w:hAnsiTheme="majorHAnsi" w:cstheme="majorHAnsi"/>
        </w:rPr>
        <w:t>Le date di rinvio verranno comunicate dalla Cancelleria, causa per causa, alle parti costituite. Le parti costituite dovranno darne notizia con apposita notifica alle parti non costituite, notificando la data di rinvio nei termini e con le modalità indicate nei singoli procedimenti del Giudice.</w:t>
      </w:r>
    </w:p>
    <w:p w:rsidR="00B44575" w:rsidRPr="00432B0C" w:rsidRDefault="00B44575" w:rsidP="004A6AD0">
      <w:pPr>
        <w:pStyle w:val="ListParagraph"/>
        <w:numPr>
          <w:ilvl w:val="0"/>
          <w:numId w:val="14"/>
        </w:numPr>
        <w:jc w:val="both"/>
        <w:rPr>
          <w:rFonts w:asciiTheme="majorHAnsi" w:hAnsiTheme="majorHAnsi" w:cstheme="majorHAnsi"/>
        </w:rPr>
      </w:pPr>
      <w:r w:rsidRPr="00432B0C">
        <w:rPr>
          <w:rFonts w:asciiTheme="majorHAnsi" w:hAnsiTheme="majorHAnsi" w:cstheme="majorHAnsi"/>
          <w:b/>
          <w:bCs/>
        </w:rPr>
        <w:t xml:space="preserve">Quando e come saranno rinviate le cause di convalida fissate ed iscritte a ruolo per il periodo dal 12.05.20 al </w:t>
      </w:r>
      <w:proofErr w:type="gramStart"/>
      <w:r w:rsidRPr="00432B0C">
        <w:rPr>
          <w:rFonts w:asciiTheme="majorHAnsi" w:hAnsiTheme="majorHAnsi" w:cstheme="majorHAnsi"/>
          <w:b/>
          <w:bCs/>
        </w:rPr>
        <w:t>22.07.20 ?</w:t>
      </w:r>
      <w:proofErr w:type="gramEnd"/>
    </w:p>
    <w:p w:rsidR="00B44575" w:rsidRPr="00432B0C" w:rsidRDefault="00B44575">
      <w:pPr>
        <w:jc w:val="both"/>
        <w:rPr>
          <w:rFonts w:asciiTheme="majorHAnsi" w:hAnsiTheme="majorHAnsi" w:cstheme="majorHAnsi"/>
          <w:b/>
          <w:bCs/>
        </w:rPr>
      </w:pPr>
      <w:r w:rsidRPr="00432B0C">
        <w:rPr>
          <w:rFonts w:asciiTheme="majorHAnsi" w:hAnsiTheme="majorHAnsi" w:cstheme="majorHAnsi"/>
        </w:rPr>
        <w:t>I rinvii disposti ex art. 82 comma 7 lett. G del D.L. n. 18/2020 saranno comunicati causa per causa dalla Cancelleria con priorità alle parti costituite e da queste devono essere notificati alle arti non costituite entro le date e con le modalità indicate nei singoli provvedimenti comunicandi.</w:t>
      </w:r>
    </w:p>
    <w:p w:rsidR="00B44575" w:rsidRPr="00432B0C" w:rsidRDefault="00B44575" w:rsidP="004A6AD0">
      <w:pPr>
        <w:pStyle w:val="ListParagraph"/>
        <w:numPr>
          <w:ilvl w:val="0"/>
          <w:numId w:val="15"/>
        </w:numPr>
        <w:jc w:val="both"/>
        <w:rPr>
          <w:rFonts w:asciiTheme="majorHAnsi" w:hAnsiTheme="majorHAnsi" w:cstheme="majorHAnsi"/>
        </w:rPr>
      </w:pPr>
      <w:r w:rsidRPr="00432B0C">
        <w:rPr>
          <w:rFonts w:asciiTheme="majorHAnsi" w:hAnsiTheme="majorHAnsi" w:cstheme="majorHAnsi"/>
          <w:b/>
          <w:bCs/>
        </w:rPr>
        <w:t xml:space="preserve">Si dovrà ancora prenotare telematicamente le date di udienza di </w:t>
      </w:r>
      <w:proofErr w:type="gramStart"/>
      <w:r w:rsidRPr="00432B0C">
        <w:rPr>
          <w:rFonts w:asciiTheme="majorHAnsi" w:hAnsiTheme="majorHAnsi" w:cstheme="majorHAnsi"/>
          <w:b/>
          <w:bCs/>
        </w:rPr>
        <w:t>convalida ?</w:t>
      </w:r>
      <w:proofErr w:type="gramEnd"/>
    </w:p>
    <w:p w:rsidR="00B44575" w:rsidRPr="00432B0C" w:rsidRDefault="00B44575">
      <w:pPr>
        <w:jc w:val="both"/>
        <w:rPr>
          <w:rFonts w:asciiTheme="majorHAnsi" w:hAnsiTheme="majorHAnsi" w:cstheme="majorHAnsi"/>
        </w:rPr>
      </w:pPr>
      <w:r w:rsidRPr="00432B0C">
        <w:rPr>
          <w:rFonts w:asciiTheme="majorHAnsi" w:hAnsiTheme="majorHAnsi" w:cstheme="majorHAnsi"/>
        </w:rPr>
        <w:t>Con la predisposizione del pano dei turni della sessione feriale, verranno indicate per le udienze di convalida di nuova iscrizione le date prenotabili già nel periodo di sospensione feriale.</w:t>
      </w:r>
    </w:p>
    <w:p w:rsidR="00B44575" w:rsidRPr="00432B0C" w:rsidRDefault="00B44575">
      <w:pPr>
        <w:jc w:val="both"/>
        <w:rPr>
          <w:rFonts w:asciiTheme="majorHAnsi" w:hAnsiTheme="majorHAnsi" w:cstheme="majorHAnsi"/>
          <w:b/>
          <w:bCs/>
        </w:rPr>
      </w:pPr>
      <w:r w:rsidRPr="00432B0C">
        <w:rPr>
          <w:rFonts w:asciiTheme="majorHAnsi" w:hAnsiTheme="majorHAnsi" w:cstheme="majorHAnsi"/>
        </w:rPr>
        <w:t>Probabilmente verrà implementato il numero delle udienze in modo da consentire, per i soli sfratti per morosità, una anticipata trattazione prima di riprendere dopo l’estate, a metà/fine settembre, l’ordinaria programmazione prenotabile.</w:t>
      </w:r>
    </w:p>
    <w:p w:rsidR="00B44575" w:rsidRPr="00432B0C" w:rsidRDefault="00B44575" w:rsidP="004A6AD0">
      <w:pPr>
        <w:pStyle w:val="ListParagraph"/>
        <w:numPr>
          <w:ilvl w:val="0"/>
          <w:numId w:val="16"/>
        </w:numPr>
        <w:jc w:val="both"/>
        <w:rPr>
          <w:rFonts w:asciiTheme="majorHAnsi" w:hAnsiTheme="majorHAnsi" w:cstheme="majorHAnsi"/>
        </w:rPr>
      </w:pPr>
      <w:r w:rsidRPr="00432B0C">
        <w:rPr>
          <w:rFonts w:asciiTheme="majorHAnsi" w:hAnsiTheme="majorHAnsi" w:cstheme="majorHAnsi"/>
          <w:b/>
          <w:bCs/>
        </w:rPr>
        <w:t xml:space="preserve">In quanto tempo verrà esaurita la trattazione delle udienze di convalida di sfratto arretrate e differite per disposizione </w:t>
      </w:r>
      <w:r w:rsidRPr="00432B0C">
        <w:rPr>
          <w:rFonts w:asciiTheme="majorHAnsi" w:hAnsiTheme="majorHAnsi" w:cstheme="majorHAnsi"/>
          <w:b/>
          <w:bCs/>
          <w:i/>
          <w:iCs/>
        </w:rPr>
        <w:t xml:space="preserve">ex </w:t>
      </w:r>
      <w:proofErr w:type="gramStart"/>
      <w:r w:rsidRPr="00432B0C">
        <w:rPr>
          <w:rFonts w:asciiTheme="majorHAnsi" w:hAnsiTheme="majorHAnsi" w:cstheme="majorHAnsi"/>
          <w:b/>
          <w:bCs/>
          <w:i/>
          <w:iCs/>
        </w:rPr>
        <w:t>lege</w:t>
      </w:r>
      <w:r w:rsidRPr="00432B0C">
        <w:rPr>
          <w:rFonts w:asciiTheme="majorHAnsi" w:hAnsiTheme="majorHAnsi" w:cstheme="majorHAnsi"/>
          <w:b/>
          <w:bCs/>
        </w:rPr>
        <w:t xml:space="preserve"> ?</w:t>
      </w:r>
      <w:proofErr w:type="gramEnd"/>
    </w:p>
    <w:p w:rsidR="00B44575" w:rsidRPr="00432B0C" w:rsidRDefault="00B44575">
      <w:pPr>
        <w:jc w:val="both"/>
        <w:rPr>
          <w:rFonts w:asciiTheme="majorHAnsi" w:hAnsiTheme="majorHAnsi" w:cstheme="majorHAnsi"/>
          <w:b/>
          <w:bCs/>
        </w:rPr>
      </w:pPr>
      <w:proofErr w:type="gramStart"/>
      <w:r w:rsidRPr="00432B0C">
        <w:rPr>
          <w:rFonts w:asciiTheme="majorHAnsi" w:hAnsiTheme="majorHAnsi" w:cstheme="majorHAnsi"/>
        </w:rPr>
        <w:t>E’</w:t>
      </w:r>
      <w:proofErr w:type="gramEnd"/>
      <w:r w:rsidRPr="00432B0C">
        <w:rPr>
          <w:rFonts w:asciiTheme="majorHAnsi" w:hAnsiTheme="majorHAnsi" w:cstheme="majorHAnsi"/>
        </w:rPr>
        <w:t xml:space="preserve"> in corso di programmazione un massivo e concentrato sforzo, compatibilmente con il supporto della Cancelleria, per esaurire entro settembre le convalide arretrate e/o differite. </w:t>
      </w:r>
    </w:p>
    <w:p w:rsidR="00B44575" w:rsidRPr="00432B0C" w:rsidRDefault="00B44575" w:rsidP="004A6AD0">
      <w:pPr>
        <w:pStyle w:val="ListParagraph"/>
        <w:numPr>
          <w:ilvl w:val="0"/>
          <w:numId w:val="17"/>
        </w:numPr>
        <w:jc w:val="both"/>
        <w:rPr>
          <w:rFonts w:asciiTheme="majorHAnsi" w:hAnsiTheme="majorHAnsi" w:cstheme="majorHAnsi"/>
        </w:rPr>
      </w:pPr>
      <w:r w:rsidRPr="00432B0C">
        <w:rPr>
          <w:rFonts w:asciiTheme="majorHAnsi" w:hAnsiTheme="majorHAnsi" w:cstheme="majorHAnsi"/>
          <w:b/>
          <w:bCs/>
        </w:rPr>
        <w:t xml:space="preserve">Come si terranno le udienze di </w:t>
      </w:r>
      <w:proofErr w:type="gramStart"/>
      <w:r w:rsidRPr="00432B0C">
        <w:rPr>
          <w:rFonts w:asciiTheme="majorHAnsi" w:hAnsiTheme="majorHAnsi" w:cstheme="majorHAnsi"/>
          <w:b/>
          <w:bCs/>
        </w:rPr>
        <w:t>convalida ?</w:t>
      </w:r>
      <w:proofErr w:type="gramEnd"/>
      <w:r w:rsidRPr="00432B0C">
        <w:rPr>
          <w:rFonts w:asciiTheme="majorHAnsi" w:hAnsiTheme="majorHAnsi" w:cstheme="majorHAnsi"/>
          <w:b/>
          <w:bCs/>
        </w:rPr>
        <w:t xml:space="preserve"> </w:t>
      </w:r>
    </w:p>
    <w:p w:rsidR="00B44575" w:rsidRPr="00432B0C" w:rsidRDefault="00B44575">
      <w:pPr>
        <w:jc w:val="both"/>
        <w:rPr>
          <w:rFonts w:asciiTheme="majorHAnsi" w:hAnsiTheme="majorHAnsi" w:cstheme="majorHAnsi"/>
        </w:rPr>
      </w:pPr>
      <w:r w:rsidRPr="00432B0C">
        <w:rPr>
          <w:rFonts w:asciiTheme="majorHAnsi" w:hAnsiTheme="majorHAnsi" w:cstheme="majorHAnsi"/>
        </w:rPr>
        <w:t>Date le peculiarità di tali udienze, chiamati in pluralità all’udienza, con presenza personale delle parti e quindi con possibilità di assembramenti, è previsto il differimento generalizzato di tutte le udienze a data successiva al 31.07.20.</w:t>
      </w:r>
    </w:p>
    <w:p w:rsidR="00B44575" w:rsidRPr="00432B0C" w:rsidRDefault="00B44575">
      <w:pPr>
        <w:jc w:val="both"/>
        <w:rPr>
          <w:rFonts w:asciiTheme="majorHAnsi" w:hAnsiTheme="majorHAnsi" w:cstheme="majorHAnsi"/>
        </w:rPr>
      </w:pPr>
      <w:r w:rsidRPr="00432B0C">
        <w:rPr>
          <w:rFonts w:asciiTheme="majorHAnsi" w:hAnsiTheme="majorHAnsi" w:cstheme="majorHAnsi"/>
        </w:rPr>
        <w:t>Da settembre, verranno previsti orari differenziati di udienza per tutte le cause, per ridurre quanto più possibile gli assembramenti, così come l’indicazione di orari anche pomeridiani ovvero la dislocazione delle udienze in aula diversa.</w:t>
      </w:r>
    </w:p>
    <w:p w:rsidR="00B44575" w:rsidRDefault="00B44575">
      <w:pPr>
        <w:jc w:val="both"/>
        <w:rPr>
          <w:rFonts w:asciiTheme="majorHAnsi" w:hAnsiTheme="majorHAnsi" w:cstheme="majorHAnsi"/>
        </w:rPr>
      </w:pPr>
      <w:r w:rsidRPr="00432B0C">
        <w:rPr>
          <w:rFonts w:asciiTheme="majorHAnsi" w:hAnsiTheme="majorHAnsi" w:cstheme="majorHAnsi"/>
        </w:rPr>
        <w:t>Dovranno comunque essere rispettati i protocolli di sicurezza validi per tutte le altre tipologie di udienze.</w:t>
      </w:r>
    </w:p>
    <w:p w:rsidR="004A6AD0" w:rsidRPr="00432B0C" w:rsidRDefault="004A6AD0">
      <w:pPr>
        <w:jc w:val="both"/>
        <w:rPr>
          <w:rFonts w:asciiTheme="majorHAnsi" w:hAnsiTheme="majorHAnsi" w:cstheme="majorHAnsi"/>
          <w:b/>
          <w:bCs/>
        </w:rPr>
      </w:pPr>
    </w:p>
    <w:p w:rsidR="00B44575" w:rsidRPr="00432B0C" w:rsidRDefault="00B44575" w:rsidP="004A6AD0">
      <w:pPr>
        <w:pStyle w:val="ListParagraph"/>
        <w:numPr>
          <w:ilvl w:val="0"/>
          <w:numId w:val="18"/>
        </w:numPr>
        <w:jc w:val="both"/>
        <w:rPr>
          <w:rFonts w:asciiTheme="majorHAnsi" w:hAnsiTheme="majorHAnsi" w:cstheme="majorHAnsi"/>
        </w:rPr>
      </w:pPr>
      <w:r w:rsidRPr="00432B0C">
        <w:rPr>
          <w:rFonts w:asciiTheme="majorHAnsi" w:hAnsiTheme="majorHAnsi" w:cstheme="majorHAnsi"/>
          <w:b/>
          <w:bCs/>
        </w:rPr>
        <w:lastRenderedPageBreak/>
        <w:t xml:space="preserve">Come si terranno le udienze diverse da quelle di </w:t>
      </w:r>
      <w:proofErr w:type="gramStart"/>
      <w:r w:rsidRPr="00432B0C">
        <w:rPr>
          <w:rFonts w:asciiTheme="majorHAnsi" w:hAnsiTheme="majorHAnsi" w:cstheme="majorHAnsi"/>
          <w:b/>
          <w:bCs/>
        </w:rPr>
        <w:t>convalida ?</w:t>
      </w:r>
      <w:proofErr w:type="gramEnd"/>
    </w:p>
    <w:p w:rsidR="00B44575" w:rsidRPr="00432B0C" w:rsidRDefault="00B44575">
      <w:pPr>
        <w:jc w:val="both"/>
        <w:rPr>
          <w:rFonts w:asciiTheme="majorHAnsi" w:hAnsiTheme="majorHAnsi" w:cstheme="majorHAnsi"/>
        </w:rPr>
      </w:pPr>
      <w:r w:rsidRPr="00432B0C">
        <w:rPr>
          <w:rFonts w:asciiTheme="majorHAnsi" w:hAnsiTheme="majorHAnsi" w:cstheme="majorHAnsi"/>
        </w:rPr>
        <w:t>Si terranno con le modalità previste nel protocollo del Tribunale di Milano del 07.05.20</w:t>
      </w:r>
    </w:p>
    <w:p w:rsidR="00B44575" w:rsidRPr="00432B0C" w:rsidRDefault="00B44575">
      <w:pPr>
        <w:jc w:val="both"/>
        <w:rPr>
          <w:rFonts w:asciiTheme="majorHAnsi" w:hAnsiTheme="majorHAnsi" w:cstheme="majorHAnsi"/>
          <w:b/>
          <w:bCs/>
        </w:rPr>
      </w:pPr>
      <w:r w:rsidRPr="00432B0C">
        <w:rPr>
          <w:rFonts w:asciiTheme="majorHAnsi" w:hAnsiTheme="majorHAnsi" w:cstheme="majorHAnsi"/>
        </w:rPr>
        <w:t>Verrà privilegiata la trattazione scritta ovvero di udienza in videoconferenza mediante collegamento da remoto. Ove tali modalità non siano esperibili, verrà valutato il differimento di udienza a data successiva al 31.07.20.</w:t>
      </w:r>
    </w:p>
    <w:p w:rsidR="00B44575" w:rsidRPr="00432B0C" w:rsidRDefault="00B44575" w:rsidP="004A6AD0">
      <w:pPr>
        <w:pStyle w:val="ListParagraph"/>
        <w:numPr>
          <w:ilvl w:val="0"/>
          <w:numId w:val="19"/>
        </w:numPr>
        <w:jc w:val="both"/>
        <w:rPr>
          <w:rFonts w:asciiTheme="majorHAnsi" w:hAnsiTheme="majorHAnsi" w:cstheme="majorHAnsi"/>
        </w:rPr>
      </w:pPr>
      <w:r w:rsidRPr="00432B0C">
        <w:rPr>
          <w:rFonts w:asciiTheme="majorHAnsi" w:hAnsiTheme="majorHAnsi" w:cstheme="majorHAnsi"/>
          <w:b/>
          <w:bCs/>
        </w:rPr>
        <w:t xml:space="preserve">Come verranno gestite le cause per le quali era fissata udienza di discussione ex art. 281 </w:t>
      </w:r>
      <w:r w:rsidRPr="00432B0C">
        <w:rPr>
          <w:rFonts w:asciiTheme="majorHAnsi" w:hAnsiTheme="majorHAnsi" w:cstheme="majorHAnsi"/>
          <w:b/>
          <w:bCs/>
          <w:i/>
          <w:iCs/>
        </w:rPr>
        <w:t>sexies</w:t>
      </w:r>
      <w:r w:rsidRPr="00432B0C">
        <w:rPr>
          <w:rFonts w:asciiTheme="majorHAnsi" w:hAnsiTheme="majorHAnsi" w:cstheme="majorHAnsi"/>
          <w:b/>
          <w:bCs/>
        </w:rPr>
        <w:t xml:space="preserve"> cpc ovvero 409 </w:t>
      </w:r>
      <w:proofErr w:type="gramStart"/>
      <w:r w:rsidRPr="00432B0C">
        <w:rPr>
          <w:rFonts w:asciiTheme="majorHAnsi" w:hAnsiTheme="majorHAnsi" w:cstheme="majorHAnsi"/>
          <w:b/>
          <w:bCs/>
        </w:rPr>
        <w:t>cpc ?</w:t>
      </w:r>
      <w:proofErr w:type="gramEnd"/>
    </w:p>
    <w:p w:rsidR="00B44575" w:rsidRPr="00432B0C" w:rsidRDefault="00B44575">
      <w:pPr>
        <w:jc w:val="both"/>
        <w:rPr>
          <w:rFonts w:asciiTheme="majorHAnsi" w:hAnsiTheme="majorHAnsi" w:cstheme="majorHAnsi"/>
          <w:b/>
          <w:bCs/>
        </w:rPr>
      </w:pPr>
      <w:r w:rsidRPr="00432B0C">
        <w:rPr>
          <w:rFonts w:asciiTheme="majorHAnsi" w:hAnsiTheme="majorHAnsi" w:cstheme="majorHAnsi"/>
        </w:rPr>
        <w:t>Per tali udienze il Giudice emette il provvedimento previa rinuncia delle parti tutte, nelle note scritte, alla lettura della sentenza.</w:t>
      </w:r>
    </w:p>
    <w:p w:rsidR="00B44575" w:rsidRPr="00432B0C" w:rsidRDefault="00B44575" w:rsidP="004A6AD0">
      <w:pPr>
        <w:pStyle w:val="ListParagraph"/>
        <w:numPr>
          <w:ilvl w:val="0"/>
          <w:numId w:val="20"/>
        </w:numPr>
        <w:jc w:val="both"/>
        <w:rPr>
          <w:rFonts w:asciiTheme="majorHAnsi" w:hAnsiTheme="majorHAnsi" w:cstheme="majorHAnsi"/>
        </w:rPr>
      </w:pPr>
      <w:r w:rsidRPr="00432B0C">
        <w:rPr>
          <w:rFonts w:asciiTheme="majorHAnsi" w:hAnsiTheme="majorHAnsi" w:cstheme="majorHAnsi"/>
          <w:b/>
          <w:bCs/>
        </w:rPr>
        <w:t xml:space="preserve">Come sono regolati i provvedimenti cautelari </w:t>
      </w:r>
      <w:r w:rsidRPr="00432B0C">
        <w:rPr>
          <w:rFonts w:asciiTheme="majorHAnsi" w:hAnsiTheme="majorHAnsi" w:cstheme="majorHAnsi"/>
          <w:b/>
          <w:bCs/>
          <w:i/>
          <w:iCs/>
        </w:rPr>
        <w:t xml:space="preserve">ante </w:t>
      </w:r>
      <w:proofErr w:type="gramStart"/>
      <w:r w:rsidRPr="00432B0C">
        <w:rPr>
          <w:rFonts w:asciiTheme="majorHAnsi" w:hAnsiTheme="majorHAnsi" w:cstheme="majorHAnsi"/>
          <w:b/>
          <w:bCs/>
          <w:i/>
          <w:iCs/>
        </w:rPr>
        <w:t>causam</w:t>
      </w:r>
      <w:r w:rsidRPr="00432B0C">
        <w:rPr>
          <w:rFonts w:asciiTheme="majorHAnsi" w:hAnsiTheme="majorHAnsi" w:cstheme="majorHAnsi"/>
          <w:b/>
          <w:bCs/>
        </w:rPr>
        <w:t xml:space="preserve"> ?</w:t>
      </w:r>
      <w:proofErr w:type="gramEnd"/>
    </w:p>
    <w:p w:rsidR="00B44575" w:rsidRPr="00432B0C" w:rsidRDefault="00B44575">
      <w:pPr>
        <w:jc w:val="both"/>
        <w:rPr>
          <w:rFonts w:asciiTheme="majorHAnsi" w:hAnsiTheme="majorHAnsi" w:cstheme="majorHAnsi"/>
          <w:b/>
          <w:bCs/>
          <w:u w:val="single"/>
        </w:rPr>
      </w:pPr>
      <w:r w:rsidRPr="00432B0C">
        <w:rPr>
          <w:rFonts w:asciiTheme="majorHAnsi" w:hAnsiTheme="majorHAnsi" w:cstheme="majorHAnsi"/>
        </w:rPr>
        <w:t xml:space="preserve">Per i provvedimenti cautelari </w:t>
      </w:r>
      <w:r w:rsidRPr="00432B0C">
        <w:rPr>
          <w:rFonts w:asciiTheme="majorHAnsi" w:hAnsiTheme="majorHAnsi" w:cstheme="majorHAnsi"/>
          <w:i/>
          <w:iCs/>
        </w:rPr>
        <w:t>ante causam</w:t>
      </w:r>
      <w:r w:rsidRPr="00432B0C">
        <w:rPr>
          <w:rFonts w:asciiTheme="majorHAnsi" w:hAnsiTheme="majorHAnsi" w:cstheme="majorHAnsi"/>
        </w:rPr>
        <w:t xml:space="preserve"> il Giudice , emesso il decreto con cui dispone la trattazione scritta, concesso o meno il provvedimento cautelare inaudita altera parte, dà al ricorrente termine per la notifica del ricorso e del decreto ed ulteriore termine per il deposito telematico del decreto notificato, alla parte resistente termine per costituirsi con note difensive e documenti, nonché ulteriori termini ancora successivi per il deposito di eventuali brevi note di rispettive repliche, riservata alla scadenza l’emissione del provvedimento.</w:t>
      </w:r>
    </w:p>
    <w:p w:rsidR="00B44575" w:rsidRPr="00432B0C" w:rsidRDefault="00B44575">
      <w:pPr>
        <w:jc w:val="center"/>
        <w:rPr>
          <w:rFonts w:asciiTheme="majorHAnsi" w:hAnsiTheme="majorHAnsi" w:cstheme="majorHAnsi"/>
          <w:b/>
          <w:bCs/>
        </w:rPr>
      </w:pPr>
      <w:r w:rsidRPr="00432B0C">
        <w:rPr>
          <w:rFonts w:asciiTheme="majorHAnsi" w:hAnsiTheme="majorHAnsi" w:cstheme="majorHAnsi"/>
          <w:b/>
          <w:bCs/>
          <w:u w:val="single"/>
        </w:rPr>
        <w:t>ESECUZIONE</w:t>
      </w:r>
    </w:p>
    <w:p w:rsidR="00B44575" w:rsidRPr="00432B0C" w:rsidRDefault="00B44575" w:rsidP="004A6AD0">
      <w:pPr>
        <w:pStyle w:val="ListParagraph"/>
        <w:numPr>
          <w:ilvl w:val="0"/>
          <w:numId w:val="21"/>
        </w:numPr>
        <w:jc w:val="both"/>
        <w:rPr>
          <w:rFonts w:asciiTheme="majorHAnsi" w:hAnsiTheme="majorHAnsi" w:cstheme="majorHAnsi"/>
        </w:rPr>
      </w:pPr>
      <w:r w:rsidRPr="00432B0C">
        <w:rPr>
          <w:rFonts w:asciiTheme="majorHAnsi" w:hAnsiTheme="majorHAnsi" w:cstheme="majorHAnsi"/>
          <w:b/>
          <w:bCs/>
        </w:rPr>
        <w:t xml:space="preserve">E’ possibile notificare il titolo esecutivo e l’atto di </w:t>
      </w:r>
      <w:proofErr w:type="gramStart"/>
      <w:r w:rsidRPr="00432B0C">
        <w:rPr>
          <w:rFonts w:asciiTheme="majorHAnsi" w:hAnsiTheme="majorHAnsi" w:cstheme="majorHAnsi"/>
          <w:b/>
          <w:bCs/>
        </w:rPr>
        <w:t>precetto ?</w:t>
      </w:r>
      <w:proofErr w:type="gramEnd"/>
    </w:p>
    <w:p w:rsidR="00B44575" w:rsidRPr="00432B0C" w:rsidRDefault="00B44575">
      <w:pPr>
        <w:jc w:val="both"/>
        <w:rPr>
          <w:rFonts w:asciiTheme="majorHAnsi" w:hAnsiTheme="majorHAnsi" w:cstheme="majorHAnsi"/>
        </w:rPr>
      </w:pPr>
      <w:r w:rsidRPr="00432B0C">
        <w:rPr>
          <w:rFonts w:asciiTheme="majorHAnsi" w:hAnsiTheme="majorHAnsi" w:cstheme="majorHAnsi"/>
        </w:rPr>
        <w:t>Per attuale disposizione dell’Ufficio UNEP, tutti gli atti di notifica ed esecuzione verranno accettati solo se scadenti nei 15 giorni successivi a quello della presentazione.</w:t>
      </w:r>
    </w:p>
    <w:p w:rsidR="00B44575" w:rsidRPr="00432B0C" w:rsidRDefault="00B44575">
      <w:pPr>
        <w:jc w:val="both"/>
        <w:rPr>
          <w:rFonts w:asciiTheme="majorHAnsi" w:hAnsiTheme="majorHAnsi" w:cstheme="majorHAnsi"/>
        </w:rPr>
      </w:pPr>
      <w:r w:rsidRPr="00432B0C">
        <w:rPr>
          <w:rFonts w:asciiTheme="majorHAnsi" w:hAnsiTheme="majorHAnsi" w:cstheme="majorHAnsi"/>
        </w:rPr>
        <w:t>Dal momento che l’atto di precetto non ha scadenza (salvo il decorrere dei 10 anni dalla data del titolo esecutivo), la notifica presumibilmente potrà essere chiesta solo dal 17 agosto in avanti.</w:t>
      </w:r>
    </w:p>
    <w:p w:rsidR="00B44575" w:rsidRPr="00432B0C" w:rsidRDefault="00B44575">
      <w:pPr>
        <w:jc w:val="both"/>
        <w:rPr>
          <w:rFonts w:asciiTheme="majorHAnsi" w:hAnsiTheme="majorHAnsi" w:cstheme="majorHAnsi"/>
          <w:b/>
          <w:bCs/>
        </w:rPr>
      </w:pPr>
      <w:proofErr w:type="gramStart"/>
      <w:r w:rsidRPr="00432B0C">
        <w:rPr>
          <w:rFonts w:asciiTheme="majorHAnsi" w:hAnsiTheme="majorHAnsi" w:cstheme="majorHAnsi"/>
        </w:rPr>
        <w:t>E’</w:t>
      </w:r>
      <w:proofErr w:type="gramEnd"/>
      <w:r w:rsidRPr="00432B0C">
        <w:rPr>
          <w:rFonts w:asciiTheme="majorHAnsi" w:hAnsiTheme="majorHAnsi" w:cstheme="majorHAnsi"/>
        </w:rPr>
        <w:t xml:space="preserve"> però salva la possibilità della notifica “in proprio” ai sensi della legge n. 53 del 1994</w:t>
      </w:r>
    </w:p>
    <w:p w:rsidR="00B44575" w:rsidRPr="00432B0C" w:rsidRDefault="00B44575">
      <w:pPr>
        <w:jc w:val="both"/>
        <w:rPr>
          <w:rFonts w:asciiTheme="majorHAnsi" w:hAnsiTheme="majorHAnsi" w:cstheme="majorHAnsi"/>
          <w:b/>
          <w:bCs/>
        </w:rPr>
      </w:pPr>
    </w:p>
    <w:p w:rsidR="00B44575" w:rsidRPr="00432B0C" w:rsidRDefault="00B44575" w:rsidP="004A6AD0">
      <w:pPr>
        <w:pStyle w:val="ListParagraph"/>
        <w:numPr>
          <w:ilvl w:val="0"/>
          <w:numId w:val="22"/>
        </w:numPr>
        <w:jc w:val="both"/>
        <w:rPr>
          <w:rFonts w:asciiTheme="majorHAnsi" w:hAnsiTheme="majorHAnsi" w:cstheme="majorHAnsi"/>
        </w:rPr>
      </w:pPr>
      <w:r w:rsidRPr="00432B0C">
        <w:rPr>
          <w:rFonts w:asciiTheme="majorHAnsi" w:hAnsiTheme="majorHAnsi" w:cstheme="majorHAnsi"/>
          <w:b/>
          <w:bCs/>
        </w:rPr>
        <w:t xml:space="preserve">E’ possibile notificare l’avviso ex art. 608 cpc (c.d. avviso di </w:t>
      </w:r>
      <w:proofErr w:type="gramStart"/>
      <w:r w:rsidRPr="00432B0C">
        <w:rPr>
          <w:rFonts w:asciiTheme="majorHAnsi" w:hAnsiTheme="majorHAnsi" w:cstheme="majorHAnsi"/>
          <w:b/>
          <w:bCs/>
        </w:rPr>
        <w:t>sloggio)  ?</w:t>
      </w:r>
      <w:proofErr w:type="gramEnd"/>
      <w:r w:rsidRPr="00432B0C">
        <w:rPr>
          <w:rFonts w:asciiTheme="majorHAnsi" w:hAnsiTheme="majorHAnsi" w:cstheme="majorHAnsi"/>
          <w:b/>
          <w:bCs/>
        </w:rPr>
        <w:t xml:space="preserve">  quale data si può </w:t>
      </w:r>
      <w:proofErr w:type="gramStart"/>
      <w:r w:rsidRPr="00432B0C">
        <w:rPr>
          <w:rFonts w:asciiTheme="majorHAnsi" w:hAnsiTheme="majorHAnsi" w:cstheme="majorHAnsi"/>
          <w:b/>
          <w:bCs/>
        </w:rPr>
        <w:t>indicare ?</w:t>
      </w:r>
      <w:proofErr w:type="gramEnd"/>
    </w:p>
    <w:p w:rsidR="00B44575" w:rsidRPr="00432B0C" w:rsidRDefault="00B44575">
      <w:pPr>
        <w:jc w:val="both"/>
        <w:rPr>
          <w:rFonts w:asciiTheme="majorHAnsi" w:hAnsiTheme="majorHAnsi" w:cstheme="majorHAnsi"/>
        </w:rPr>
      </w:pPr>
      <w:r w:rsidRPr="00432B0C">
        <w:rPr>
          <w:rFonts w:asciiTheme="majorHAnsi" w:hAnsiTheme="majorHAnsi" w:cstheme="majorHAnsi"/>
        </w:rPr>
        <w:t>L’atto da notificare ex art. 608 cpc può essere depositato all’UNEP dal 17 agosto 2020 in avanti, stante la sospensione delle procedure esecutive prorogata fino al 01.09.2020 (art. 103 n. 6 Legge di conversione n. 27 del 24.04.2020)</w:t>
      </w:r>
    </w:p>
    <w:p w:rsidR="00B44575" w:rsidRPr="00432B0C" w:rsidRDefault="00B44575">
      <w:pPr>
        <w:jc w:val="both"/>
        <w:rPr>
          <w:rFonts w:asciiTheme="majorHAnsi" w:hAnsiTheme="majorHAnsi" w:cstheme="majorHAnsi"/>
        </w:rPr>
      </w:pPr>
      <w:r w:rsidRPr="00432B0C">
        <w:rPr>
          <w:rFonts w:asciiTheme="majorHAnsi" w:hAnsiTheme="majorHAnsi" w:cstheme="majorHAnsi"/>
        </w:rPr>
        <w:t>La data di primo accesso verrà fissata a decorrere dal 02.09.2020 in avanti (come indicato dall’UNEP sul proprio portale).</w:t>
      </w:r>
    </w:p>
    <w:p w:rsidR="00B44575" w:rsidRPr="00432B0C" w:rsidRDefault="00B44575">
      <w:pPr>
        <w:numPr>
          <w:ilvl w:val="0"/>
          <w:numId w:val="4"/>
        </w:numPr>
        <w:jc w:val="both"/>
        <w:rPr>
          <w:rFonts w:asciiTheme="majorHAnsi" w:hAnsiTheme="majorHAnsi" w:cstheme="majorHAnsi"/>
        </w:rPr>
      </w:pPr>
      <w:r w:rsidRPr="00432B0C">
        <w:rPr>
          <w:rFonts w:asciiTheme="majorHAnsi" w:hAnsiTheme="majorHAnsi" w:cstheme="majorHAnsi"/>
        </w:rPr>
        <w:t>La legge che dispone la sospensione delle esecuzioni per rilascio fino all'1/9/2020 (art. 103 n. 6 Legge di conversione n. 27 del 24.04.2020) fa distinzione tra diverse categorie di immobili (uso abitativo, prima casa, uso diverso)?</w:t>
      </w:r>
    </w:p>
    <w:p w:rsidR="00B44575" w:rsidRPr="00432B0C" w:rsidRDefault="00B44575">
      <w:pPr>
        <w:jc w:val="both"/>
        <w:rPr>
          <w:rFonts w:asciiTheme="majorHAnsi" w:hAnsiTheme="majorHAnsi" w:cstheme="majorHAnsi"/>
        </w:rPr>
      </w:pPr>
      <w:r w:rsidRPr="00432B0C">
        <w:rPr>
          <w:rFonts w:asciiTheme="majorHAnsi" w:hAnsiTheme="majorHAnsi" w:cstheme="majorHAnsi"/>
        </w:rPr>
        <w:t>No. La sospensione di cui all'art. 103 citato riguarda TUTTE le categorie di immobili.</w:t>
      </w:r>
    </w:p>
    <w:p w:rsidR="00B44575" w:rsidRPr="00432B0C" w:rsidRDefault="00B44575">
      <w:pPr>
        <w:numPr>
          <w:ilvl w:val="0"/>
          <w:numId w:val="5"/>
        </w:numPr>
        <w:jc w:val="both"/>
        <w:rPr>
          <w:rFonts w:asciiTheme="majorHAnsi" w:hAnsiTheme="majorHAnsi" w:cstheme="majorHAnsi"/>
        </w:rPr>
      </w:pPr>
      <w:proofErr w:type="gramStart"/>
      <w:r w:rsidRPr="00432B0C">
        <w:rPr>
          <w:rFonts w:asciiTheme="majorHAnsi" w:hAnsiTheme="majorHAnsi" w:cstheme="majorHAnsi"/>
        </w:rPr>
        <w:t>E'</w:t>
      </w:r>
      <w:proofErr w:type="gramEnd"/>
      <w:r w:rsidRPr="00432B0C">
        <w:rPr>
          <w:rFonts w:asciiTheme="majorHAnsi" w:hAnsiTheme="majorHAnsi" w:cstheme="majorHAnsi"/>
        </w:rPr>
        <w:t xml:space="preserve"> possibile concordare con il conduttore il rilascio spontaneo dell'immobile?</w:t>
      </w:r>
    </w:p>
    <w:p w:rsidR="00B44575" w:rsidRPr="00432B0C" w:rsidRDefault="00B44575">
      <w:pPr>
        <w:jc w:val="both"/>
        <w:rPr>
          <w:rFonts w:asciiTheme="majorHAnsi" w:hAnsiTheme="majorHAnsi" w:cstheme="majorHAnsi"/>
          <w:b/>
          <w:bCs/>
        </w:rPr>
      </w:pPr>
      <w:r w:rsidRPr="00432B0C">
        <w:rPr>
          <w:rFonts w:asciiTheme="majorHAnsi" w:hAnsiTheme="majorHAnsi" w:cstheme="majorHAnsi"/>
        </w:rPr>
        <w:t>Si, è sempre possibile stipulare accordi in tal senso tra le parti.</w:t>
      </w:r>
    </w:p>
    <w:p w:rsidR="00B44575" w:rsidRPr="00432B0C" w:rsidRDefault="00B44575" w:rsidP="004A6AD0">
      <w:pPr>
        <w:pStyle w:val="ListParagraph"/>
        <w:numPr>
          <w:ilvl w:val="0"/>
          <w:numId w:val="23"/>
        </w:numPr>
        <w:jc w:val="both"/>
        <w:rPr>
          <w:rFonts w:asciiTheme="majorHAnsi" w:hAnsiTheme="majorHAnsi" w:cstheme="majorHAnsi"/>
        </w:rPr>
      </w:pPr>
      <w:r w:rsidRPr="00432B0C">
        <w:rPr>
          <w:rFonts w:asciiTheme="majorHAnsi" w:hAnsiTheme="majorHAnsi" w:cstheme="majorHAnsi"/>
          <w:b/>
          <w:bCs/>
        </w:rPr>
        <w:t xml:space="preserve">I procedimenti di esecuzione per rilascio già iniziati quando possono essere iniziati o </w:t>
      </w:r>
      <w:proofErr w:type="gramStart"/>
      <w:r w:rsidRPr="00432B0C">
        <w:rPr>
          <w:rFonts w:asciiTheme="majorHAnsi" w:hAnsiTheme="majorHAnsi" w:cstheme="majorHAnsi"/>
          <w:b/>
          <w:bCs/>
        </w:rPr>
        <w:t>proseguiti ?</w:t>
      </w:r>
      <w:proofErr w:type="gramEnd"/>
    </w:p>
    <w:p w:rsidR="00B44575" w:rsidRPr="00432B0C" w:rsidRDefault="00B44575">
      <w:pPr>
        <w:jc w:val="both"/>
        <w:rPr>
          <w:rFonts w:asciiTheme="majorHAnsi" w:hAnsiTheme="majorHAnsi" w:cstheme="majorHAnsi"/>
          <w:b/>
          <w:bCs/>
        </w:rPr>
      </w:pPr>
      <w:r w:rsidRPr="00432B0C">
        <w:rPr>
          <w:rFonts w:asciiTheme="majorHAnsi" w:hAnsiTheme="majorHAnsi" w:cstheme="majorHAnsi"/>
        </w:rPr>
        <w:t>Le procedure per rilascio sono state sospese fino alla data del 01.09.2020 (art. 103 n. 6 Legge di conversione n. 27 del 24.04.2020)</w:t>
      </w:r>
    </w:p>
    <w:p w:rsidR="00B44575" w:rsidRPr="00432B0C" w:rsidRDefault="00B44575" w:rsidP="004A6AD0">
      <w:pPr>
        <w:pStyle w:val="ListParagraph"/>
        <w:numPr>
          <w:ilvl w:val="0"/>
          <w:numId w:val="24"/>
        </w:numPr>
        <w:jc w:val="both"/>
        <w:rPr>
          <w:rFonts w:asciiTheme="majorHAnsi" w:hAnsiTheme="majorHAnsi" w:cstheme="majorHAnsi"/>
        </w:rPr>
      </w:pPr>
      <w:r w:rsidRPr="00432B0C">
        <w:rPr>
          <w:rFonts w:asciiTheme="majorHAnsi" w:hAnsiTheme="majorHAnsi" w:cstheme="majorHAnsi"/>
          <w:b/>
          <w:bCs/>
        </w:rPr>
        <w:lastRenderedPageBreak/>
        <w:t xml:space="preserve">Quando si possono </w:t>
      </w:r>
      <w:proofErr w:type="spellStart"/>
      <w:r w:rsidRPr="00432B0C">
        <w:rPr>
          <w:rFonts w:asciiTheme="majorHAnsi" w:hAnsiTheme="majorHAnsi" w:cstheme="majorHAnsi"/>
          <w:b/>
          <w:bCs/>
        </w:rPr>
        <w:t>ridepositare</w:t>
      </w:r>
      <w:proofErr w:type="spellEnd"/>
      <w:r w:rsidRPr="00432B0C">
        <w:rPr>
          <w:rFonts w:asciiTheme="majorHAnsi" w:hAnsiTheme="majorHAnsi" w:cstheme="majorHAnsi"/>
          <w:b/>
          <w:bCs/>
        </w:rPr>
        <w:t xml:space="preserve"> gli atti presso l’UNEP per la prosecuzione delle procedure di esecuzione per </w:t>
      </w:r>
      <w:proofErr w:type="gramStart"/>
      <w:r w:rsidRPr="00432B0C">
        <w:rPr>
          <w:rFonts w:asciiTheme="majorHAnsi" w:hAnsiTheme="majorHAnsi" w:cstheme="majorHAnsi"/>
          <w:b/>
          <w:bCs/>
        </w:rPr>
        <w:t>rilascio ?</w:t>
      </w:r>
      <w:proofErr w:type="gramEnd"/>
    </w:p>
    <w:p w:rsidR="00B44575" w:rsidRPr="00432B0C" w:rsidRDefault="00B44575">
      <w:pPr>
        <w:jc w:val="both"/>
        <w:rPr>
          <w:rFonts w:asciiTheme="majorHAnsi" w:hAnsiTheme="majorHAnsi" w:cstheme="majorHAnsi"/>
          <w:b/>
          <w:bCs/>
        </w:rPr>
      </w:pPr>
      <w:r w:rsidRPr="00432B0C">
        <w:rPr>
          <w:rFonts w:asciiTheme="majorHAnsi" w:hAnsiTheme="majorHAnsi" w:cstheme="majorHAnsi"/>
        </w:rPr>
        <w:t xml:space="preserve">Gli atti potranno essere depositati all’UNEP a partire dal 17 agosto 2020 (salvo ulteriori proroghe) </w:t>
      </w:r>
    </w:p>
    <w:p w:rsidR="00B44575" w:rsidRPr="00432B0C" w:rsidRDefault="00B44575" w:rsidP="004A6AD0">
      <w:pPr>
        <w:pStyle w:val="ListParagraph"/>
        <w:numPr>
          <w:ilvl w:val="0"/>
          <w:numId w:val="25"/>
        </w:numPr>
        <w:jc w:val="both"/>
        <w:rPr>
          <w:rFonts w:asciiTheme="majorHAnsi" w:hAnsiTheme="majorHAnsi" w:cstheme="majorHAnsi"/>
        </w:rPr>
      </w:pPr>
      <w:r w:rsidRPr="00432B0C">
        <w:rPr>
          <w:rFonts w:asciiTheme="majorHAnsi" w:hAnsiTheme="majorHAnsi" w:cstheme="majorHAnsi"/>
          <w:b/>
          <w:bCs/>
        </w:rPr>
        <w:t xml:space="preserve">Quando viene fissata la data del procedimento di rilascio in </w:t>
      </w:r>
      <w:proofErr w:type="gramStart"/>
      <w:r w:rsidRPr="00432B0C">
        <w:rPr>
          <w:rFonts w:asciiTheme="majorHAnsi" w:hAnsiTheme="majorHAnsi" w:cstheme="majorHAnsi"/>
          <w:b/>
          <w:bCs/>
        </w:rPr>
        <w:t>prosieguo ?</w:t>
      </w:r>
      <w:proofErr w:type="gramEnd"/>
    </w:p>
    <w:p w:rsidR="00B44575" w:rsidRPr="00432B0C" w:rsidRDefault="00B44575">
      <w:pPr>
        <w:jc w:val="both"/>
        <w:rPr>
          <w:rFonts w:asciiTheme="majorHAnsi" w:hAnsiTheme="majorHAnsi" w:cstheme="majorHAnsi"/>
        </w:rPr>
      </w:pPr>
      <w:r w:rsidRPr="00432B0C">
        <w:rPr>
          <w:rFonts w:asciiTheme="majorHAnsi" w:hAnsiTheme="majorHAnsi" w:cstheme="majorHAnsi"/>
        </w:rPr>
        <w:t>La data sarà stabilita a decorrere dal 2 settembre 2020 in avanti. In particolare, a precisa richiesta, la Dirigente UNEP ha comunicato al Consiglio dell'Ordine Avvocati di Milano che, d'intesa con la Presidente della Corte e con il Presidente delegato per l'</w:t>
      </w:r>
      <w:proofErr w:type="spellStart"/>
      <w:r w:rsidRPr="00432B0C">
        <w:rPr>
          <w:rFonts w:asciiTheme="majorHAnsi" w:hAnsiTheme="majorHAnsi" w:cstheme="majorHAnsi"/>
        </w:rPr>
        <w:t>Unep</w:t>
      </w:r>
      <w:proofErr w:type="spellEnd"/>
      <w:r w:rsidRPr="00432B0C">
        <w:rPr>
          <w:rFonts w:asciiTheme="majorHAnsi" w:hAnsiTheme="majorHAnsi" w:cstheme="majorHAnsi"/>
        </w:rPr>
        <w:t>, gli atti relativi alle procedure di rilascio in corso non dovranno essere depositati all'</w:t>
      </w:r>
      <w:proofErr w:type="spellStart"/>
      <w:r w:rsidRPr="00432B0C">
        <w:rPr>
          <w:rFonts w:asciiTheme="majorHAnsi" w:hAnsiTheme="majorHAnsi" w:cstheme="majorHAnsi"/>
        </w:rPr>
        <w:t>Unep</w:t>
      </w:r>
      <w:proofErr w:type="spellEnd"/>
      <w:r w:rsidRPr="00432B0C">
        <w:rPr>
          <w:rFonts w:asciiTheme="majorHAnsi" w:hAnsiTheme="majorHAnsi" w:cstheme="majorHAnsi"/>
        </w:rPr>
        <w:t xml:space="preserve"> fino al termine dell'emergenza in corso. L'Ufficiale Giudiziario competente per la zona operativa esterna provvederà a fissare nuova data, rimettendo nei termini la procedura.</w:t>
      </w:r>
    </w:p>
    <w:p w:rsidR="00B44575" w:rsidRPr="00432B0C" w:rsidRDefault="00B44575">
      <w:pPr>
        <w:jc w:val="both"/>
        <w:rPr>
          <w:rFonts w:asciiTheme="majorHAnsi" w:hAnsiTheme="majorHAnsi" w:cstheme="majorHAnsi"/>
        </w:rPr>
      </w:pPr>
    </w:p>
    <w:sectPr w:rsidR="00B44575" w:rsidRPr="00432B0C">
      <w:pgSz w:w="11906" w:h="16838"/>
      <w:pgMar w:top="1417" w:right="1134" w:bottom="1134" w:left="1134" w:header="720" w:footer="720" w:gutter="0"/>
      <w:cols w:space="720"/>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OpenSymbol">
    <w:altName w:val="Arial Unicode MS"/>
    <w:panose1 w:val="020B0604020202020204"/>
    <w:charset w:val="00"/>
    <w:family w:val="auto"/>
    <w:pitch w:val="variable"/>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Num1"/>
    <w:lvl w:ilvl="0">
      <w:start w:val="1"/>
      <w:numFmt w:val="bullet"/>
      <w:lvlText w:val=""/>
      <w:lvlJc w:val="left"/>
      <w:pPr>
        <w:tabs>
          <w:tab w:val="num" w:pos="0"/>
        </w:tabs>
        <w:ind w:left="720" w:hanging="360"/>
      </w:pPr>
      <w:rPr>
        <w:rFonts w:ascii="Wingdings" w:hAnsi="Wingdings"/>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 w15:restartNumberingAfterBreak="0">
    <w:nsid w:val="00000002"/>
    <w:multiLevelType w:val="multilevel"/>
    <w:tmpl w:val="00000002"/>
    <w:name w:val="WWNum2"/>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 w15:restartNumberingAfterBreak="0">
    <w:nsid w:val="00000003"/>
    <w:multiLevelType w:val="multilevel"/>
    <w:tmpl w:val="0000000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15:restartNumberingAfterBreak="0">
    <w:nsid w:val="00000004"/>
    <w:multiLevelType w:val="multilevel"/>
    <w:tmpl w:val="00000004"/>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4" w15:restartNumberingAfterBreak="0">
    <w:nsid w:val="00000005"/>
    <w:multiLevelType w:val="multilevel"/>
    <w:tmpl w:val="00000005"/>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5" w15:restartNumberingAfterBreak="0">
    <w:nsid w:val="00000006"/>
    <w:multiLevelType w:val="multilevel"/>
    <w:tmpl w:val="0000000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6" w15:restartNumberingAfterBreak="0">
    <w:nsid w:val="09A47B43"/>
    <w:multiLevelType w:val="multilevel"/>
    <w:tmpl w:val="144AD226"/>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7" w15:restartNumberingAfterBreak="0">
    <w:nsid w:val="10BF14BB"/>
    <w:multiLevelType w:val="multilevel"/>
    <w:tmpl w:val="021AFA2A"/>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8" w15:restartNumberingAfterBreak="0">
    <w:nsid w:val="163C3D52"/>
    <w:multiLevelType w:val="multilevel"/>
    <w:tmpl w:val="5ECC0CE8"/>
    <w:lvl w:ilvl="0">
      <w:start w:val="1"/>
      <w:numFmt w:val="bullet"/>
      <w:lvlText w:val="o"/>
      <w:lvlJc w:val="left"/>
      <w:pPr>
        <w:ind w:left="720" w:hanging="360"/>
      </w:pPr>
      <w:rPr>
        <w:rFonts w:ascii="Courier New" w:hAnsi="Courier New" w:cs="Courier New" w:hint="default"/>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9" w15:restartNumberingAfterBreak="0">
    <w:nsid w:val="1FE4258A"/>
    <w:multiLevelType w:val="multilevel"/>
    <w:tmpl w:val="D666C5B2"/>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0" w15:restartNumberingAfterBreak="0">
    <w:nsid w:val="22303E8C"/>
    <w:multiLevelType w:val="multilevel"/>
    <w:tmpl w:val="A6B4F754"/>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1" w15:restartNumberingAfterBreak="0">
    <w:nsid w:val="2F0B670E"/>
    <w:multiLevelType w:val="multilevel"/>
    <w:tmpl w:val="88CA12EC"/>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2" w15:restartNumberingAfterBreak="0">
    <w:nsid w:val="3196057A"/>
    <w:multiLevelType w:val="multilevel"/>
    <w:tmpl w:val="760C229E"/>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3" w15:restartNumberingAfterBreak="0">
    <w:nsid w:val="390F39DE"/>
    <w:multiLevelType w:val="multilevel"/>
    <w:tmpl w:val="58F659EC"/>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4" w15:restartNumberingAfterBreak="0">
    <w:nsid w:val="3B920F11"/>
    <w:multiLevelType w:val="multilevel"/>
    <w:tmpl w:val="6FACB834"/>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5" w15:restartNumberingAfterBreak="0">
    <w:nsid w:val="3C0662F7"/>
    <w:multiLevelType w:val="multilevel"/>
    <w:tmpl w:val="BF42FDBA"/>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6" w15:restartNumberingAfterBreak="0">
    <w:nsid w:val="40AB1938"/>
    <w:multiLevelType w:val="multilevel"/>
    <w:tmpl w:val="602E352E"/>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7" w15:restartNumberingAfterBreak="0">
    <w:nsid w:val="40E431A2"/>
    <w:multiLevelType w:val="multilevel"/>
    <w:tmpl w:val="AE382168"/>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8" w15:restartNumberingAfterBreak="0">
    <w:nsid w:val="43FD1310"/>
    <w:multiLevelType w:val="multilevel"/>
    <w:tmpl w:val="1DA00D46"/>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9" w15:restartNumberingAfterBreak="0">
    <w:nsid w:val="45481D8F"/>
    <w:multiLevelType w:val="multilevel"/>
    <w:tmpl w:val="53EA932C"/>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0" w15:restartNumberingAfterBreak="0">
    <w:nsid w:val="56566F15"/>
    <w:multiLevelType w:val="hybridMultilevel"/>
    <w:tmpl w:val="A6E2B6D0"/>
    <w:lvl w:ilvl="0" w:tplc="04100003">
      <w:start w:val="1"/>
      <w:numFmt w:val="bullet"/>
      <w:lvlText w:val="o"/>
      <w:lvlJc w:val="left"/>
      <w:pPr>
        <w:ind w:left="360" w:hanging="360"/>
      </w:pPr>
      <w:rPr>
        <w:rFonts w:ascii="Courier New" w:hAnsi="Courier New" w:cs="Courier New"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1" w15:restartNumberingAfterBreak="0">
    <w:nsid w:val="6D4A0C5F"/>
    <w:multiLevelType w:val="multilevel"/>
    <w:tmpl w:val="757C7F48"/>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2" w15:restartNumberingAfterBreak="0">
    <w:nsid w:val="6EB327D8"/>
    <w:multiLevelType w:val="multilevel"/>
    <w:tmpl w:val="7978667E"/>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3" w15:restartNumberingAfterBreak="0">
    <w:nsid w:val="72B30C20"/>
    <w:multiLevelType w:val="multilevel"/>
    <w:tmpl w:val="A322F160"/>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4" w15:restartNumberingAfterBreak="0">
    <w:nsid w:val="7F9D06D4"/>
    <w:multiLevelType w:val="multilevel"/>
    <w:tmpl w:val="5404A84E"/>
    <w:lvl w:ilvl="0">
      <w:start w:val="1"/>
      <w:numFmt w:val="bullet"/>
      <w:lvlText w:val="o"/>
      <w:lvlJc w:val="left"/>
      <w:pPr>
        <w:ind w:left="36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8"/>
  </w:num>
  <w:num w:numId="8">
    <w:abstractNumId w:val="18"/>
  </w:num>
  <w:num w:numId="9">
    <w:abstractNumId w:val="13"/>
  </w:num>
  <w:num w:numId="10">
    <w:abstractNumId w:val="7"/>
  </w:num>
  <w:num w:numId="11">
    <w:abstractNumId w:val="21"/>
  </w:num>
  <w:num w:numId="12">
    <w:abstractNumId w:val="12"/>
  </w:num>
  <w:num w:numId="13">
    <w:abstractNumId w:val="19"/>
  </w:num>
  <w:num w:numId="14">
    <w:abstractNumId w:val="17"/>
  </w:num>
  <w:num w:numId="15">
    <w:abstractNumId w:val="23"/>
  </w:num>
  <w:num w:numId="16">
    <w:abstractNumId w:val="16"/>
  </w:num>
  <w:num w:numId="17">
    <w:abstractNumId w:val="15"/>
  </w:num>
  <w:num w:numId="18">
    <w:abstractNumId w:val="14"/>
  </w:num>
  <w:num w:numId="19">
    <w:abstractNumId w:val="9"/>
  </w:num>
  <w:num w:numId="20">
    <w:abstractNumId w:val="22"/>
  </w:num>
  <w:num w:numId="21">
    <w:abstractNumId w:val="11"/>
  </w:num>
  <w:num w:numId="22">
    <w:abstractNumId w:val="10"/>
  </w:num>
  <w:num w:numId="23">
    <w:abstractNumId w:val="6"/>
  </w:num>
  <w:num w:numId="24">
    <w:abstractNumId w:val="20"/>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4"/>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4050"/>
    <w:rsid w:val="002A6D65"/>
    <w:rsid w:val="00432B0C"/>
    <w:rsid w:val="004A6AD0"/>
    <w:rsid w:val="007E2644"/>
    <w:rsid w:val="00B44575"/>
    <w:rsid w:val="00C4405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D5FF446"/>
  <w15:chartTrackingRefBased/>
  <w15:docId w15:val="{BAEFC6C2-F4F7-714F-9058-9C03C4C1F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uppressAutoHyphens/>
      <w:spacing w:after="160" w:line="256" w:lineRule="auto"/>
    </w:pPr>
    <w:rPr>
      <w:rFonts w:ascii="Calibri" w:eastAsia="SimSun" w:hAnsi="Calibri" w:cs="Calibri"/>
      <w:sz w:val="22"/>
      <w:szCs w:val="22"/>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DefaultParagraphFont">
    <w:name w:val="Default Paragraph Font"/>
  </w:style>
  <w:style w:type="character" w:customStyle="1" w:styleId="ListLabel1">
    <w:name w:val="ListLabel 1"/>
    <w:rPr>
      <w:rFonts w:cs="Courier New"/>
    </w:rPr>
  </w:style>
  <w:style w:type="character" w:customStyle="1" w:styleId="Punti">
    <w:name w:val="Punti"/>
    <w:rPr>
      <w:rFonts w:ascii="OpenSymbol" w:eastAsia="OpenSymbol" w:hAnsi="OpenSymbol" w:cs="OpenSymbol"/>
    </w:rPr>
  </w:style>
  <w:style w:type="character" w:styleId="Collegamentoipertestuale">
    <w:name w:val="Hyperlink"/>
    <w:rPr>
      <w:color w:val="000080"/>
      <w:u w:val="single"/>
      <w:lang/>
    </w:rPr>
  </w:style>
  <w:style w:type="character" w:customStyle="1" w:styleId="Caratteredinumerazione">
    <w:name w:val="Carattere di numerazione"/>
  </w:style>
  <w:style w:type="paragraph" w:customStyle="1" w:styleId="Intestazione1">
    <w:name w:val="Intestazione1"/>
    <w:basedOn w:val="Normale"/>
    <w:next w:val="Corpotesto"/>
    <w:pPr>
      <w:keepNext/>
      <w:spacing w:before="240" w:after="120"/>
    </w:pPr>
    <w:rPr>
      <w:rFonts w:ascii="Arial" w:hAnsi="Arial" w:cs="Lucida Sans"/>
      <w:sz w:val="28"/>
      <w:szCs w:val="28"/>
    </w:rPr>
  </w:style>
  <w:style w:type="paragraph" w:styleId="Corpotesto">
    <w:name w:val="Body Text"/>
    <w:basedOn w:val="Normale"/>
    <w:pPr>
      <w:spacing w:after="120"/>
    </w:pPr>
  </w:style>
  <w:style w:type="paragraph" w:styleId="Elenco">
    <w:name w:val="List"/>
    <w:basedOn w:val="Corpotesto"/>
    <w:rPr>
      <w:rFonts w:cs="Lucida Sans"/>
    </w:rPr>
  </w:style>
  <w:style w:type="paragraph" w:customStyle="1" w:styleId="Didascalia1">
    <w:name w:val="Didascalia1"/>
    <w:basedOn w:val="Normale"/>
    <w:pPr>
      <w:suppressLineNumbers/>
      <w:spacing w:before="120" w:after="120"/>
    </w:pPr>
    <w:rPr>
      <w:rFonts w:cs="Lucida Sans"/>
      <w:i/>
      <w:iCs/>
      <w:sz w:val="24"/>
      <w:szCs w:val="24"/>
    </w:rPr>
  </w:style>
  <w:style w:type="paragraph" w:customStyle="1" w:styleId="Indice">
    <w:name w:val="Indice"/>
    <w:basedOn w:val="Normale"/>
    <w:pPr>
      <w:suppressLineNumbers/>
    </w:pPr>
    <w:rPr>
      <w:rFonts w:cs="Lucida Sans"/>
    </w:rPr>
  </w:style>
  <w:style w:type="paragraph" w:customStyle="1" w:styleId="ListParagraph">
    <w:name w:val="List Paragraph"/>
    <w:basedOn w:val="Normale"/>
    <w:pPr>
      <w:ind w:left="720"/>
    </w:pPr>
  </w:style>
  <w:style w:type="paragraph" w:styleId="Testofumetto">
    <w:name w:val="Balloon Text"/>
    <w:basedOn w:val="Normale"/>
    <w:link w:val="TestofumettoCarattere"/>
    <w:uiPriority w:val="99"/>
    <w:semiHidden/>
    <w:unhideWhenUsed/>
    <w:rsid w:val="00432B0C"/>
    <w:pPr>
      <w:spacing w:after="0" w:line="240" w:lineRule="auto"/>
    </w:pPr>
    <w:rPr>
      <w:rFonts w:ascii="Times New Roman" w:hAnsi="Times New Roman" w:cs="Times New Roman"/>
      <w:sz w:val="18"/>
      <w:szCs w:val="18"/>
    </w:rPr>
  </w:style>
  <w:style w:type="character" w:customStyle="1" w:styleId="TestofumettoCarattere">
    <w:name w:val="Testo fumetto Carattere"/>
    <w:basedOn w:val="Carpredefinitoparagrafo"/>
    <w:link w:val="Testofumetto"/>
    <w:uiPriority w:val="99"/>
    <w:semiHidden/>
    <w:rsid w:val="00432B0C"/>
    <w:rPr>
      <w:rFonts w:eastAsia="SimSun"/>
      <w:sz w:val="18"/>
      <w:szCs w:val="1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rdineavvocatimilano.it/media/news/MAGGIO%202020/tribunalemilano6620.pdf" TargetMode="External"/><Relationship Id="rId3" Type="http://schemas.openxmlformats.org/officeDocument/2006/relationships/settings" Target="settings.xml"/><Relationship Id="rId7" Type="http://schemas.openxmlformats.org/officeDocument/2006/relationships/hyperlink" Target="https://www.gazzettaufficiale.it/eli/id/2020/04/08/20G00043/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azzettaufficiale.it/atto/serie_generale/caricaDettaglioAtto/originario?atto.dataPubblicazioneGazzetta=2020-04-29&amp;atto.codiceRedazionale=20A02357&amp;elenco30giorni=false"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https://www.ordineavvocatimilano.it/media/UNEP%20COVID%2019%20FASE%202.pdf" TargetMode="External"/><Relationship Id="rId4" Type="http://schemas.openxmlformats.org/officeDocument/2006/relationships/webSettings" Target="webSettings.xml"/><Relationship Id="rId9" Type="http://schemas.openxmlformats.org/officeDocument/2006/relationships/hyperlink" Target="https://www.ordineavvocatimilano.it/media/news/MAGGIO%202020/LINEE%20GUIDA%20MILANO%20XIII%20Sezione%20CIV%2012%20maggio.pdf"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957</Words>
  <Characters>8524</Characters>
  <Application>Microsoft Office Word</Application>
  <DocSecurity>0</DocSecurity>
  <Lines>139</Lines>
  <Paragraphs>51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9430</CharactersWithSpaces>
  <SharedDoc>false</SharedDoc>
  <HLinks>
    <vt:vector size="30" baseType="variant">
      <vt:variant>
        <vt:i4>8126511</vt:i4>
      </vt:variant>
      <vt:variant>
        <vt:i4>12</vt:i4>
      </vt:variant>
      <vt:variant>
        <vt:i4>0</vt:i4>
      </vt:variant>
      <vt:variant>
        <vt:i4>5</vt:i4>
      </vt:variant>
      <vt:variant>
        <vt:lpwstr>https://www.ordineavvocatimilano.it/media/UNEP%20COVID%2019%20FASE%202.pdf</vt:lpwstr>
      </vt:variant>
      <vt:variant>
        <vt:lpwstr/>
      </vt:variant>
      <vt:variant>
        <vt:i4>4718676</vt:i4>
      </vt:variant>
      <vt:variant>
        <vt:i4>9</vt:i4>
      </vt:variant>
      <vt:variant>
        <vt:i4>0</vt:i4>
      </vt:variant>
      <vt:variant>
        <vt:i4>5</vt:i4>
      </vt:variant>
      <vt:variant>
        <vt:lpwstr>https://www.ordineavvocatimilano.it/media/news/MAGGIO%202020/LINEE%20GUIDA%20MILANO%20XIII%20Sezione%20CIV%2012%20maggio.pdf</vt:lpwstr>
      </vt:variant>
      <vt:variant>
        <vt:lpwstr/>
      </vt:variant>
      <vt:variant>
        <vt:i4>6160393</vt:i4>
      </vt:variant>
      <vt:variant>
        <vt:i4>6</vt:i4>
      </vt:variant>
      <vt:variant>
        <vt:i4>0</vt:i4>
      </vt:variant>
      <vt:variant>
        <vt:i4>5</vt:i4>
      </vt:variant>
      <vt:variant>
        <vt:lpwstr>https://www.ordineavvocatimilano.it/media/news/MAGGIO%202020/tribunalemilano6620.pdf</vt:lpwstr>
      </vt:variant>
      <vt:variant>
        <vt:lpwstr/>
      </vt:variant>
      <vt:variant>
        <vt:i4>327774</vt:i4>
      </vt:variant>
      <vt:variant>
        <vt:i4>3</vt:i4>
      </vt:variant>
      <vt:variant>
        <vt:i4>0</vt:i4>
      </vt:variant>
      <vt:variant>
        <vt:i4>5</vt:i4>
      </vt:variant>
      <vt:variant>
        <vt:lpwstr>https://www.gazzettaufficiale.it/eli/id/2020/04/08/20G00043/s</vt:lpwstr>
      </vt:variant>
      <vt:variant>
        <vt:lpwstr/>
      </vt:variant>
      <vt:variant>
        <vt:i4>1507378</vt:i4>
      </vt:variant>
      <vt:variant>
        <vt:i4>0</vt:i4>
      </vt:variant>
      <vt:variant>
        <vt:i4>0</vt:i4>
      </vt:variant>
      <vt:variant>
        <vt:i4>5</vt:i4>
      </vt:variant>
      <vt:variant>
        <vt:lpwstr>https://www.gazzettaufficiale.it/atto/serie_generale/caricaDettaglioAtto/originario?atto.dataPubblicazioneGazzetta=2020-04-29&amp;atto.codiceRedazionale=20A02357&amp;elenco30giorni=false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Pollarolo</dc:creator>
  <cp:keywords/>
  <cp:lastModifiedBy>raffaella cosentino</cp:lastModifiedBy>
  <cp:revision>3</cp:revision>
  <cp:lastPrinted>1601-01-01T00:00:00Z</cp:lastPrinted>
  <dcterms:created xsi:type="dcterms:W3CDTF">2020-06-19T09:26:00Z</dcterms:created>
  <dcterms:modified xsi:type="dcterms:W3CDTF">2020-06-19T09:28:00Z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