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9"/>
        <w:gridCol w:w="4399"/>
      </w:tblGrid>
      <w:tr w:rsidR="009B1563" w:rsidRPr="009B1563" w14:paraId="1A205F71" w14:textId="77777777" w:rsidTr="00D13AFC">
        <w:trPr>
          <w:trHeight w:val="319"/>
        </w:trPr>
        <w:tc>
          <w:tcPr>
            <w:tcW w:w="4399" w:type="dxa"/>
            <w:tcBorders>
              <w:top w:val="none" w:sz="6" w:space="0" w:color="auto"/>
              <w:bottom w:val="none" w:sz="6" w:space="0" w:color="auto"/>
              <w:right w:val="none" w:sz="6" w:space="0" w:color="auto"/>
            </w:tcBorders>
          </w:tcPr>
          <w:p w14:paraId="0D3006A8" w14:textId="77777777" w:rsidR="009B1563" w:rsidRPr="009B1563" w:rsidRDefault="009B1563" w:rsidP="00D13AFC">
            <w:pPr>
              <w:spacing w:after="0" w:line="360" w:lineRule="auto"/>
              <w:jc w:val="center"/>
              <w:rPr>
                <w:rFonts w:ascii="Calibri" w:hAnsi="Calibri" w:cs="Calibri"/>
                <w:lang w:val="it-IT"/>
              </w:rPr>
            </w:pPr>
            <w:r w:rsidRPr="009B1563">
              <w:rPr>
                <w:rFonts w:ascii="Calibri" w:hAnsi="Calibri" w:cs="Calibri"/>
                <w:b/>
                <w:bCs/>
                <w:lang w:val="it-IT"/>
              </w:rPr>
              <w:t>ORGANISMO DI CONCILIAZIONE</w:t>
            </w:r>
          </w:p>
          <w:p w14:paraId="067C00F3" w14:textId="77777777" w:rsidR="009B1563" w:rsidRPr="009B1563" w:rsidRDefault="009B1563" w:rsidP="00D13AFC">
            <w:pPr>
              <w:spacing w:after="0" w:line="360" w:lineRule="auto"/>
              <w:jc w:val="center"/>
              <w:rPr>
                <w:rFonts w:ascii="Calibri" w:hAnsi="Calibri" w:cs="Calibri"/>
                <w:lang w:val="it-IT"/>
              </w:rPr>
            </w:pPr>
            <w:r w:rsidRPr="009B1563">
              <w:rPr>
                <w:rFonts w:ascii="Calibri" w:hAnsi="Calibri" w:cs="Calibri"/>
                <w:b/>
                <w:bCs/>
                <w:lang w:val="it-IT"/>
              </w:rPr>
              <w:t>DELL’ORDINE DEGLI AVVOCATI DI MILANO</w:t>
            </w:r>
          </w:p>
        </w:tc>
        <w:tc>
          <w:tcPr>
            <w:tcW w:w="4399" w:type="dxa"/>
            <w:tcBorders>
              <w:top w:val="none" w:sz="6" w:space="0" w:color="auto"/>
              <w:left w:val="none" w:sz="6" w:space="0" w:color="auto"/>
              <w:bottom w:val="none" w:sz="6" w:space="0" w:color="auto"/>
            </w:tcBorders>
          </w:tcPr>
          <w:p w14:paraId="5E3D1A4E" w14:textId="77777777" w:rsidR="009B1563" w:rsidRPr="009B1563" w:rsidRDefault="009B1563" w:rsidP="00D13AFC">
            <w:pPr>
              <w:spacing w:after="0" w:line="360" w:lineRule="auto"/>
              <w:jc w:val="center"/>
              <w:rPr>
                <w:rFonts w:ascii="Calibri" w:hAnsi="Calibri" w:cs="Calibri"/>
                <w:lang w:val="it-IT"/>
              </w:rPr>
            </w:pPr>
            <w:r w:rsidRPr="009B1563">
              <w:rPr>
                <w:rFonts w:ascii="Calibri" w:hAnsi="Calibri" w:cs="Calibri"/>
                <w:b/>
                <w:bCs/>
                <w:lang w:val="it-IT"/>
              </w:rPr>
              <w:t>CAMERA ARBITRALE FORENSE</w:t>
            </w:r>
          </w:p>
          <w:p w14:paraId="69270CBB" w14:textId="77777777" w:rsidR="009B1563" w:rsidRPr="009B1563" w:rsidRDefault="009B1563" w:rsidP="00D13AFC">
            <w:pPr>
              <w:spacing w:after="0" w:line="360" w:lineRule="auto"/>
              <w:jc w:val="center"/>
              <w:rPr>
                <w:rFonts w:ascii="Calibri" w:hAnsi="Calibri" w:cs="Calibri"/>
                <w:lang w:val="it-IT"/>
              </w:rPr>
            </w:pPr>
            <w:r w:rsidRPr="009B1563">
              <w:rPr>
                <w:rFonts w:ascii="Calibri" w:hAnsi="Calibri" w:cs="Calibri"/>
                <w:b/>
                <w:bCs/>
                <w:lang w:val="it-IT"/>
              </w:rPr>
              <w:t>DI MILANO</w:t>
            </w:r>
          </w:p>
        </w:tc>
      </w:tr>
    </w:tbl>
    <w:p w14:paraId="66FA2F0A" w14:textId="77777777" w:rsidR="009B1563" w:rsidRPr="009B1563" w:rsidRDefault="009B1563" w:rsidP="009B1563">
      <w:pPr>
        <w:rPr>
          <w:rFonts w:ascii="Calibri" w:hAnsi="Calibri" w:cs="Calibri"/>
          <w:lang w:val="it-IT"/>
        </w:rPr>
      </w:pPr>
    </w:p>
    <w:p w14:paraId="3238F28A" w14:textId="77777777" w:rsidR="009B1563" w:rsidRPr="009B1563" w:rsidRDefault="009B1563" w:rsidP="009B1563">
      <w:pPr>
        <w:rPr>
          <w:rFonts w:ascii="Calibri" w:hAnsi="Calibri" w:cs="Calibri"/>
          <w:lang w:val="it-IT"/>
        </w:rPr>
      </w:pPr>
      <w:r w:rsidRPr="009B1563">
        <w:rPr>
          <w:rFonts w:ascii="Calibri" w:hAnsi="Calibri" w:cs="Calibri"/>
          <w:lang w:val="it-IT"/>
        </w:rPr>
        <w:t xml:space="preserve">L’Organismo di Conciliazione dell’Ordine degli Avvocati di Milano (di seguito ODC) </w:t>
      </w:r>
    </w:p>
    <w:p w14:paraId="4DBD665C" w14:textId="77777777" w:rsidR="009B1563" w:rsidRPr="009B1563" w:rsidRDefault="009B1563" w:rsidP="009B1563">
      <w:pPr>
        <w:rPr>
          <w:rFonts w:ascii="Calibri" w:hAnsi="Calibri" w:cs="Calibri"/>
          <w:lang w:val="it-IT"/>
        </w:rPr>
      </w:pPr>
      <w:proofErr w:type="gramStart"/>
      <w:r w:rsidRPr="009B1563">
        <w:rPr>
          <w:rFonts w:ascii="Calibri" w:hAnsi="Calibri" w:cs="Calibri"/>
          <w:lang w:val="it-IT"/>
        </w:rPr>
        <w:t>e</w:t>
      </w:r>
      <w:proofErr w:type="gramEnd"/>
      <w:r w:rsidRPr="009B1563">
        <w:rPr>
          <w:rFonts w:ascii="Calibri" w:hAnsi="Calibri" w:cs="Calibri"/>
          <w:lang w:val="it-IT"/>
        </w:rPr>
        <w:t xml:space="preserve"> </w:t>
      </w:r>
    </w:p>
    <w:p w14:paraId="760CA32C" w14:textId="77777777" w:rsidR="009B1563" w:rsidRPr="009B1563" w:rsidRDefault="009B1563" w:rsidP="009B1563">
      <w:pPr>
        <w:rPr>
          <w:rFonts w:ascii="Calibri" w:hAnsi="Calibri" w:cs="Calibri"/>
          <w:lang w:val="it-IT"/>
        </w:rPr>
      </w:pPr>
      <w:proofErr w:type="gramStart"/>
      <w:r w:rsidRPr="009B1563">
        <w:rPr>
          <w:rFonts w:ascii="Calibri" w:hAnsi="Calibri" w:cs="Calibri"/>
          <w:lang w:val="it-IT"/>
        </w:rPr>
        <w:t>la</w:t>
      </w:r>
      <w:proofErr w:type="gramEnd"/>
      <w:r w:rsidRPr="009B1563">
        <w:rPr>
          <w:rFonts w:ascii="Calibri" w:hAnsi="Calibri" w:cs="Calibri"/>
          <w:lang w:val="it-IT"/>
        </w:rPr>
        <w:t xml:space="preserve"> Camera Arbitrale Forense (di seguito CAF) </w:t>
      </w:r>
    </w:p>
    <w:p w14:paraId="5DDCC153" w14:textId="387525F2" w:rsidR="009B1563" w:rsidRPr="009B1563" w:rsidRDefault="009B1563" w:rsidP="009B1563">
      <w:pPr>
        <w:jc w:val="center"/>
        <w:rPr>
          <w:rFonts w:ascii="Calibri" w:hAnsi="Calibri" w:cs="Calibri"/>
          <w:b/>
          <w:lang w:val="it-IT"/>
        </w:rPr>
      </w:pPr>
      <w:r w:rsidRPr="009B1563">
        <w:rPr>
          <w:rFonts w:ascii="Calibri" w:hAnsi="Calibri" w:cs="Calibri"/>
          <w:b/>
          <w:lang w:val="it-IT"/>
        </w:rPr>
        <w:t>COMUNICANO AL</w:t>
      </w:r>
      <w:r w:rsidRPr="009B1563">
        <w:rPr>
          <w:rFonts w:ascii="Calibri" w:hAnsi="Calibri" w:cs="Calibri"/>
          <w:b/>
          <w:lang w:val="it-IT"/>
        </w:rPr>
        <w:t>LE PARTI E AI LORO AVVOCATI CHE</w:t>
      </w:r>
    </w:p>
    <w:p w14:paraId="78F16E2E" w14:textId="77777777" w:rsidR="009B1563" w:rsidRPr="009B1563" w:rsidRDefault="009B1563" w:rsidP="009B1563">
      <w:pPr>
        <w:jc w:val="both"/>
        <w:rPr>
          <w:rFonts w:ascii="Calibri" w:hAnsi="Calibri" w:cs="Calibri"/>
          <w:lang w:val="it-IT"/>
        </w:rPr>
      </w:pPr>
      <w:r w:rsidRPr="009B1563">
        <w:rPr>
          <w:rFonts w:ascii="Calibri" w:hAnsi="Calibri" w:cs="Calibri"/>
          <w:lang w:val="it-IT"/>
        </w:rPr>
        <w:t xml:space="preserve">l’ODC e la CAF, in cooperazione tra loro offrono la seguente opportunità. </w:t>
      </w:r>
    </w:p>
    <w:p w14:paraId="013D93B4" w14:textId="77777777" w:rsidR="009B1563" w:rsidRPr="009B1563" w:rsidRDefault="009B1563" w:rsidP="009B1563">
      <w:pPr>
        <w:jc w:val="both"/>
        <w:rPr>
          <w:rFonts w:ascii="Calibri" w:hAnsi="Calibri" w:cs="Calibri"/>
          <w:lang w:val="it-IT"/>
        </w:rPr>
      </w:pPr>
      <w:r w:rsidRPr="009B1563">
        <w:rPr>
          <w:rFonts w:ascii="Calibri" w:hAnsi="Calibri" w:cs="Calibri"/>
          <w:lang w:val="it-IT"/>
        </w:rPr>
        <w:t xml:space="preserve">Qualora le Parti decidano di stipulare un patto di mediazione, viene loro segnalata la possibilità di pattuire, in aggiunta ad esso, una clausola compromissoria in modo che, ove la mediazione non abbia luogo o si concluda senza un accordo, possa essere fatto ricorso all’arbitrato senza la stipulazione di un nuovo accordo che lo preveda. </w:t>
      </w:r>
    </w:p>
    <w:p w14:paraId="76B46C31" w14:textId="77777777" w:rsidR="009B1563" w:rsidRPr="009B1563" w:rsidRDefault="009B1563" w:rsidP="009B1563">
      <w:pPr>
        <w:jc w:val="both"/>
        <w:rPr>
          <w:rFonts w:ascii="Calibri" w:hAnsi="Calibri" w:cs="Calibri"/>
          <w:lang w:val="it-IT"/>
        </w:rPr>
      </w:pPr>
      <w:r w:rsidRPr="009B1563">
        <w:rPr>
          <w:rFonts w:ascii="Calibri" w:hAnsi="Calibri" w:cs="Calibri"/>
          <w:lang w:val="it-IT"/>
        </w:rPr>
        <w:t xml:space="preserve">Obiettivo generalmente non realizzabile se ci si limita a stipulare un patto di mediazione in quanto, ove le parti non raggiungano una soluzione durante essa, è molto improbabile che in un momento di disaccordo accettino di stipulare una convenzione arbitrale. </w:t>
      </w:r>
    </w:p>
    <w:p w14:paraId="611CE387" w14:textId="079992C3" w:rsidR="009B1563" w:rsidRPr="009B1563" w:rsidRDefault="009B1563" w:rsidP="009B1563">
      <w:pPr>
        <w:jc w:val="both"/>
        <w:rPr>
          <w:rFonts w:ascii="Calibri" w:hAnsi="Calibri" w:cs="Calibri"/>
          <w:lang w:val="it-IT"/>
        </w:rPr>
      </w:pPr>
      <w:r w:rsidRPr="009B1563">
        <w:rPr>
          <w:rFonts w:ascii="Calibri" w:hAnsi="Calibri" w:cs="Calibri"/>
          <w:lang w:val="it-IT"/>
        </w:rPr>
        <w:t xml:space="preserve">Nella diversa </w:t>
      </w:r>
      <w:r w:rsidRPr="009B1563">
        <w:rPr>
          <w:rFonts w:ascii="Calibri" w:hAnsi="Calibri" w:cs="Calibri"/>
          <w:lang w:val="it-IT"/>
        </w:rPr>
        <w:t xml:space="preserve">situazione </w:t>
      </w:r>
      <w:r w:rsidRPr="009B1563">
        <w:rPr>
          <w:rFonts w:ascii="Calibri" w:hAnsi="Calibri" w:cs="Calibri"/>
          <w:lang w:val="it-IT"/>
        </w:rPr>
        <w:t>in cui le parti abbiamo già stipulato un patto di mediazione ma esse non raggiungano per qualsiasi motivo un accordo</w:t>
      </w:r>
      <w:r w:rsidRPr="009B1563">
        <w:rPr>
          <w:rFonts w:ascii="Calibri" w:hAnsi="Calibri" w:cs="Calibri"/>
          <w:lang w:val="it-IT"/>
        </w:rPr>
        <w:t xml:space="preserve">, </w:t>
      </w:r>
      <w:r w:rsidRPr="009B1563">
        <w:rPr>
          <w:rFonts w:ascii="Calibri" w:hAnsi="Calibri" w:cs="Calibri"/>
          <w:lang w:val="it-IT"/>
        </w:rPr>
        <w:t>esse potranno stipulare un compromesso che porti la controversia in arbitrato.</w:t>
      </w:r>
    </w:p>
    <w:p w14:paraId="2C51A5F5" w14:textId="77777777" w:rsidR="009B1563" w:rsidRPr="009B1563" w:rsidRDefault="009B1563" w:rsidP="009B1563">
      <w:pPr>
        <w:jc w:val="both"/>
        <w:rPr>
          <w:rFonts w:ascii="Calibri" w:hAnsi="Calibri" w:cs="Calibri"/>
          <w:lang w:val="it-IT"/>
        </w:rPr>
      </w:pPr>
      <w:r w:rsidRPr="009B1563">
        <w:rPr>
          <w:rFonts w:ascii="Calibri" w:hAnsi="Calibri" w:cs="Calibri"/>
          <w:lang w:val="it-IT"/>
        </w:rPr>
        <w:t xml:space="preserve">La immediata disponibilità di un ricorso all’arbitrato amministrato in base al Regolamento della CAF offre numerosi vantaggi: </w:t>
      </w:r>
    </w:p>
    <w:p w14:paraId="535881C4" w14:textId="77777777"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un</w:t>
      </w:r>
      <w:proofErr w:type="gramEnd"/>
      <w:r w:rsidRPr="009B1563">
        <w:rPr>
          <w:rFonts w:ascii="Calibri" w:hAnsi="Calibri" w:cs="Calibri"/>
          <w:lang w:val="it-IT"/>
        </w:rPr>
        <w:t xml:space="preserve"> Arbitro Unico che riduce molto sensibilmente i costi rispetto ad un collegio di tre arbitri;</w:t>
      </w:r>
    </w:p>
    <w:p w14:paraId="48108D94" w14:textId="3A92AD67"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l’applicazione</w:t>
      </w:r>
      <w:proofErr w:type="gramEnd"/>
      <w:r w:rsidRPr="009B1563">
        <w:rPr>
          <w:rFonts w:ascii="Calibri" w:hAnsi="Calibri" w:cs="Calibri"/>
          <w:lang w:val="it-IT"/>
        </w:rPr>
        <w:t xml:space="preserve"> di stringenti e rigorose regole a garanzia della indipendenza e imparzialità</w:t>
      </w:r>
      <w:r w:rsidRPr="009B1563">
        <w:rPr>
          <w:rFonts w:ascii="Calibri" w:hAnsi="Calibri" w:cs="Calibri"/>
          <w:lang w:val="it-IT"/>
        </w:rPr>
        <w:t xml:space="preserve"> </w:t>
      </w:r>
      <w:r w:rsidRPr="009B1563">
        <w:rPr>
          <w:rFonts w:ascii="Calibri" w:hAnsi="Calibri" w:cs="Calibri"/>
          <w:lang w:val="it-IT"/>
        </w:rPr>
        <w:t>dell’Arbitro, rafforzate dalla previsione di una penale a carico dell’Arbitro a garanzia della sua terzietà;</w:t>
      </w:r>
    </w:p>
    <w:p w14:paraId="283360AD" w14:textId="43444C8F"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la</w:t>
      </w:r>
      <w:proofErr w:type="gramEnd"/>
      <w:r w:rsidRPr="009B1563">
        <w:rPr>
          <w:rFonts w:ascii="Calibri" w:hAnsi="Calibri" w:cs="Calibri"/>
          <w:lang w:val="it-IT"/>
        </w:rPr>
        <w:t xml:space="preserve"> previsione, in tema di prova, del diritto dei Difensori delle Parti di escutere e</w:t>
      </w:r>
      <w:r w:rsidRPr="009B1563">
        <w:rPr>
          <w:rFonts w:ascii="Calibri" w:hAnsi="Calibri" w:cs="Calibri"/>
          <w:lang w:val="it-IT"/>
        </w:rPr>
        <w:t xml:space="preserve"> </w:t>
      </w:r>
      <w:r w:rsidRPr="009B1563">
        <w:rPr>
          <w:rFonts w:ascii="Calibri" w:hAnsi="Calibri" w:cs="Calibri"/>
          <w:lang w:val="it-IT"/>
        </w:rPr>
        <w:t>controinterrogare direttamente i testimoni e le Parti personalmente, discostandosi dalla disciplina processuale ordinaria;</w:t>
      </w:r>
    </w:p>
    <w:p w14:paraId="531A762F" w14:textId="21FC06F6"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la</w:t>
      </w:r>
      <w:proofErr w:type="gramEnd"/>
      <w:r w:rsidRPr="009B1563">
        <w:rPr>
          <w:rFonts w:ascii="Calibri" w:hAnsi="Calibri" w:cs="Calibri"/>
          <w:lang w:val="it-IT"/>
        </w:rPr>
        <w:t xml:space="preserve"> previsione che il Consulente Tecnico non può limitarsi ad una relazione scritta e dovrà</w:t>
      </w:r>
      <w:r w:rsidRPr="009B1563">
        <w:rPr>
          <w:rFonts w:ascii="Calibri" w:hAnsi="Calibri" w:cs="Calibri"/>
          <w:lang w:val="it-IT"/>
        </w:rPr>
        <w:t xml:space="preserve"> </w:t>
      </w:r>
      <w:r w:rsidRPr="009B1563">
        <w:rPr>
          <w:rFonts w:ascii="Calibri" w:hAnsi="Calibri" w:cs="Calibri"/>
          <w:lang w:val="it-IT"/>
        </w:rPr>
        <w:t>invece anche eventualmente rendere delucidazioni alle Parti e all’Arbitro;</w:t>
      </w:r>
    </w:p>
    <w:p w14:paraId="17E8A012" w14:textId="77777777"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la</w:t>
      </w:r>
      <w:proofErr w:type="gramEnd"/>
      <w:r w:rsidRPr="009B1563">
        <w:rPr>
          <w:rFonts w:ascii="Calibri" w:hAnsi="Calibri" w:cs="Calibri"/>
          <w:lang w:val="it-IT"/>
        </w:rPr>
        <w:t xml:space="preserve"> previsione di un termine molto breve per la decisione, 90 giorni, con ulteriori 90 giorni</w:t>
      </w:r>
      <w:r w:rsidRPr="009B1563">
        <w:rPr>
          <w:rFonts w:ascii="Calibri" w:hAnsi="Calibri" w:cs="Calibri"/>
          <w:lang w:val="it-IT"/>
        </w:rPr>
        <w:t xml:space="preserve"> </w:t>
      </w:r>
      <w:r w:rsidRPr="009B1563">
        <w:rPr>
          <w:rFonts w:ascii="Calibri" w:hAnsi="Calibri" w:cs="Calibri"/>
          <w:lang w:val="it-IT"/>
        </w:rPr>
        <w:t>ove vengano ammessi mezzi di prova o disposta una consulenza tecnica e</w:t>
      </w:r>
      <w:r w:rsidRPr="009B1563">
        <w:rPr>
          <w:rFonts w:ascii="Calibri" w:hAnsi="Calibri" w:cs="Calibri"/>
          <w:lang w:val="it-IT"/>
        </w:rPr>
        <w:t>/o</w:t>
      </w:r>
      <w:r w:rsidRPr="009B1563">
        <w:rPr>
          <w:rFonts w:ascii="Calibri" w:hAnsi="Calibri" w:cs="Calibri"/>
          <w:lang w:val="it-IT"/>
        </w:rPr>
        <w:t xml:space="preserve"> venga emesso un lodo non definitivo o parziale;</w:t>
      </w:r>
    </w:p>
    <w:p w14:paraId="4CEE9638" w14:textId="77777777"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la</w:t>
      </w:r>
      <w:proofErr w:type="gramEnd"/>
      <w:r w:rsidRPr="009B1563">
        <w:rPr>
          <w:rFonts w:ascii="Calibri" w:hAnsi="Calibri" w:cs="Calibri"/>
          <w:lang w:val="it-IT"/>
        </w:rPr>
        <w:t xml:space="preserve"> scelta di consentire l’emissione di provvedimenti cautelari, urgenti e provvisori;</w:t>
      </w:r>
    </w:p>
    <w:p w14:paraId="4247C1D5" w14:textId="77777777"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l’istituzione</w:t>
      </w:r>
      <w:proofErr w:type="gramEnd"/>
      <w:r w:rsidRPr="009B1563">
        <w:rPr>
          <w:rFonts w:ascii="Calibri" w:hAnsi="Calibri" w:cs="Calibri"/>
          <w:lang w:val="it-IT"/>
        </w:rPr>
        <w:t xml:space="preserve"> di un Elenco degli Avvocati ab</w:t>
      </w:r>
      <w:r w:rsidRPr="009B1563">
        <w:rPr>
          <w:rFonts w:ascii="Calibri" w:hAnsi="Calibri" w:cs="Calibri"/>
          <w:lang w:val="it-IT"/>
        </w:rPr>
        <w:t>ilitati alla funzione di arbitro</w:t>
      </w:r>
      <w:r w:rsidRPr="009B1563">
        <w:rPr>
          <w:rFonts w:ascii="Calibri" w:hAnsi="Calibri" w:cs="Calibri"/>
          <w:lang w:val="it-IT"/>
        </w:rPr>
        <w:t xml:space="preserve">, in base a precisi criteri </w:t>
      </w:r>
      <w:r w:rsidRPr="009B1563">
        <w:rPr>
          <w:rFonts w:ascii="Calibri" w:hAnsi="Calibri" w:cs="Calibri"/>
          <w:lang w:val="it-IT"/>
        </w:rPr>
        <w:t xml:space="preserve">di selezione </w:t>
      </w:r>
      <w:r w:rsidRPr="009B1563">
        <w:rPr>
          <w:rFonts w:ascii="Calibri" w:hAnsi="Calibri" w:cs="Calibri"/>
          <w:lang w:val="it-IT"/>
        </w:rPr>
        <w:t>a garanzia della qualità della procedura;</w:t>
      </w:r>
      <w:r w:rsidRPr="009B1563">
        <w:rPr>
          <w:rFonts w:ascii="Calibri" w:hAnsi="Calibri" w:cs="Calibri"/>
          <w:lang w:val="it-IT"/>
        </w:rPr>
        <w:t xml:space="preserve"> </w:t>
      </w:r>
    </w:p>
    <w:p w14:paraId="58E71C4B" w14:textId="238F82D4" w:rsidR="009B1563" w:rsidRPr="009B1563" w:rsidRDefault="009B1563" w:rsidP="009B1563">
      <w:pPr>
        <w:numPr>
          <w:ilvl w:val="0"/>
          <w:numId w:val="2"/>
        </w:numPr>
        <w:spacing w:after="0" w:line="240" w:lineRule="auto"/>
        <w:jc w:val="both"/>
        <w:rPr>
          <w:rFonts w:ascii="Calibri" w:hAnsi="Calibri" w:cs="Calibri"/>
          <w:lang w:val="it-IT"/>
        </w:rPr>
      </w:pPr>
      <w:proofErr w:type="gramStart"/>
      <w:r w:rsidRPr="009B1563">
        <w:rPr>
          <w:rFonts w:ascii="Calibri" w:hAnsi="Calibri" w:cs="Calibri"/>
          <w:lang w:val="it-IT"/>
        </w:rPr>
        <w:t>la</w:t>
      </w:r>
      <w:proofErr w:type="gramEnd"/>
      <w:r w:rsidRPr="009B1563">
        <w:rPr>
          <w:rFonts w:ascii="Calibri" w:hAnsi="Calibri" w:cs="Calibri"/>
          <w:lang w:val="it-IT"/>
        </w:rPr>
        <w:t xml:space="preserve"> previsione di compensi tabellari con previsione di rapido incasso.</w:t>
      </w:r>
    </w:p>
    <w:p w14:paraId="35354A6E" w14:textId="77777777" w:rsidR="009B1563" w:rsidRPr="009B1563" w:rsidRDefault="009B1563" w:rsidP="009B1563">
      <w:pPr>
        <w:jc w:val="both"/>
        <w:rPr>
          <w:rFonts w:ascii="Calibri" w:hAnsi="Calibri" w:cs="Calibri"/>
          <w:lang w:val="it-IT"/>
        </w:rPr>
      </w:pPr>
    </w:p>
    <w:p w14:paraId="587527FD" w14:textId="2B5DD3F6" w:rsidR="009B1563" w:rsidRPr="009B1563" w:rsidRDefault="009B1563" w:rsidP="009B1563">
      <w:pPr>
        <w:jc w:val="both"/>
        <w:rPr>
          <w:rFonts w:ascii="Calibri" w:hAnsi="Calibri" w:cs="Calibri"/>
          <w:lang w:val="it-IT"/>
        </w:rPr>
      </w:pPr>
      <w:bookmarkStart w:id="0" w:name="_GoBack"/>
      <w:r w:rsidRPr="009B1563">
        <w:rPr>
          <w:rFonts w:ascii="Calibri" w:hAnsi="Calibri" w:cs="Calibri"/>
          <w:lang w:val="it-IT"/>
        </w:rPr>
        <w:lastRenderedPageBreak/>
        <w:t xml:space="preserve">Inoltre, per chi trasformi la procedura di mediazione in procedura arbitrale, come condizione di particolare favore, verrà applicata una riduzione </w:t>
      </w:r>
      <w:r w:rsidRPr="009B1563">
        <w:rPr>
          <w:rFonts w:ascii="Calibri" w:hAnsi="Calibri" w:cs="Calibri"/>
          <w:lang w:val="it-IT"/>
        </w:rPr>
        <w:t xml:space="preserve">dei diritti della Camera Arbitrale Forense </w:t>
      </w:r>
      <w:r w:rsidRPr="009B1563">
        <w:rPr>
          <w:rFonts w:ascii="Calibri" w:hAnsi="Calibri" w:cs="Calibri"/>
          <w:lang w:val="it-IT"/>
        </w:rPr>
        <w:t xml:space="preserve">nella misura del 50%. </w:t>
      </w:r>
    </w:p>
    <w:p w14:paraId="218C006F" w14:textId="5BAA7DC0" w:rsidR="009B1563" w:rsidRPr="009B1563" w:rsidRDefault="009B1563" w:rsidP="009B1563">
      <w:pPr>
        <w:jc w:val="both"/>
        <w:rPr>
          <w:rFonts w:ascii="Calibri" w:hAnsi="Calibri" w:cs="Calibri"/>
          <w:lang w:val="it-IT"/>
        </w:rPr>
      </w:pPr>
      <w:r w:rsidRPr="009B1563">
        <w:rPr>
          <w:rFonts w:ascii="Calibri" w:hAnsi="Calibri" w:cs="Calibri"/>
          <w:lang w:val="it-IT"/>
        </w:rPr>
        <w:t xml:space="preserve">Qualora le Parti decidano di avvalersi di questa opportunità, la Segreteria </w:t>
      </w:r>
      <w:r w:rsidRPr="009B1563">
        <w:rPr>
          <w:rFonts w:ascii="Calibri" w:hAnsi="Calibri" w:cs="Calibri"/>
          <w:lang w:val="it-IT"/>
        </w:rPr>
        <w:t>dell</w:t>
      </w:r>
      <w:r w:rsidRPr="009B1563">
        <w:rPr>
          <w:rFonts w:ascii="Calibri" w:hAnsi="Calibri" w:cs="Calibri"/>
          <w:lang w:val="it-IT"/>
        </w:rPr>
        <w:t xml:space="preserve">’Organismo di Conciliazione mette a disposizione sia una clausola che preveda l’arbitrato e la mediazione, sia - a lite già insorta - un modello di compromesso. </w:t>
      </w:r>
    </w:p>
    <w:bookmarkEnd w:id="0"/>
    <w:p w14:paraId="12F96EE7" w14:textId="77777777" w:rsidR="009B1563" w:rsidRPr="009B1563" w:rsidRDefault="009B1563" w:rsidP="009B1563">
      <w:pPr>
        <w:rPr>
          <w:rFonts w:ascii="Calibri" w:hAnsi="Calibri" w:cs="Calibri"/>
        </w:rPr>
      </w:pPr>
      <w:r w:rsidRPr="009B1563">
        <w:rPr>
          <w:rFonts w:ascii="Calibri" w:hAnsi="Calibri" w:cs="Calibri"/>
        </w:rPr>
        <w:t>Milano, data</w:t>
      </w:r>
    </w:p>
    <w:p w14:paraId="06205FD3" w14:textId="77777777" w:rsidR="009B1563" w:rsidRPr="009B1563" w:rsidRDefault="009B1563" w:rsidP="009B1563">
      <w:pPr>
        <w:rPr>
          <w:rFonts w:ascii="Calibri" w:hAnsi="Calibri" w:cs="Calibri"/>
        </w:rPr>
      </w:pPr>
    </w:p>
    <w:sectPr w:rsidR="009B1563" w:rsidRPr="009B15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D5420"/>
    <w:multiLevelType w:val="hybridMultilevel"/>
    <w:tmpl w:val="1BC8463E"/>
    <w:lvl w:ilvl="0" w:tplc="23BADA9C">
      <w:start w:val="1"/>
      <w:numFmt w:val="decimal"/>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59"/>
    <w:rsid w:val="00097662"/>
    <w:rsid w:val="000A407B"/>
    <w:rsid w:val="000A4B90"/>
    <w:rsid w:val="001B31EE"/>
    <w:rsid w:val="002C2611"/>
    <w:rsid w:val="00652D59"/>
    <w:rsid w:val="00800631"/>
    <w:rsid w:val="009B1563"/>
    <w:rsid w:val="00B30253"/>
    <w:rsid w:val="00D62CC0"/>
    <w:rsid w:val="00E511AA"/>
    <w:rsid w:val="00F02C6F"/>
    <w:rsid w:val="00F24A63"/>
    <w:rsid w:val="00FE5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09AD"/>
  <w15:chartTrackingRefBased/>
  <w15:docId w15:val="{12F97B3A-284C-4BD6-8CE4-7C81B109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563"/>
    <w:rPr>
      <w:lang w:val="en-GB"/>
    </w:rPr>
  </w:style>
  <w:style w:type="paragraph" w:styleId="Titolo1">
    <w:name w:val="heading 1"/>
    <w:basedOn w:val="Normale"/>
    <w:next w:val="Normale"/>
    <w:link w:val="Titolo1Carattere"/>
    <w:uiPriority w:val="9"/>
    <w:qFormat/>
    <w:rsid w:val="00652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52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52D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52D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52D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52D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2D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2D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2D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2D59"/>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652D59"/>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652D59"/>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652D59"/>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652D59"/>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652D59"/>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652D59"/>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652D59"/>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652D59"/>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652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2D59"/>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652D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2D59"/>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652D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2D59"/>
    <w:rPr>
      <w:i/>
      <w:iCs/>
      <w:color w:val="404040" w:themeColor="text1" w:themeTint="BF"/>
      <w:lang w:val="en-GB"/>
    </w:rPr>
  </w:style>
  <w:style w:type="paragraph" w:styleId="Paragrafoelenco">
    <w:name w:val="List Paragraph"/>
    <w:basedOn w:val="Normale"/>
    <w:uiPriority w:val="34"/>
    <w:qFormat/>
    <w:rsid w:val="00652D59"/>
    <w:pPr>
      <w:ind w:left="720"/>
      <w:contextualSpacing/>
    </w:pPr>
  </w:style>
  <w:style w:type="character" w:styleId="Enfasiintensa">
    <w:name w:val="Intense Emphasis"/>
    <w:basedOn w:val="Carpredefinitoparagrafo"/>
    <w:uiPriority w:val="21"/>
    <w:qFormat/>
    <w:rsid w:val="00652D59"/>
    <w:rPr>
      <w:i/>
      <w:iCs/>
      <w:color w:val="0F4761" w:themeColor="accent1" w:themeShade="BF"/>
    </w:rPr>
  </w:style>
  <w:style w:type="paragraph" w:styleId="Citazioneintensa">
    <w:name w:val="Intense Quote"/>
    <w:basedOn w:val="Normale"/>
    <w:next w:val="Normale"/>
    <w:link w:val="CitazioneintensaCarattere"/>
    <w:uiPriority w:val="30"/>
    <w:qFormat/>
    <w:rsid w:val="00652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52D59"/>
    <w:rPr>
      <w:i/>
      <w:iCs/>
      <w:color w:val="0F4761" w:themeColor="accent1" w:themeShade="BF"/>
      <w:lang w:val="en-GB"/>
    </w:rPr>
  </w:style>
  <w:style w:type="character" w:styleId="Riferimentointenso">
    <w:name w:val="Intense Reference"/>
    <w:basedOn w:val="Carpredefinitoparagrafo"/>
    <w:uiPriority w:val="32"/>
    <w:qFormat/>
    <w:rsid w:val="00652D59"/>
    <w:rPr>
      <w:b/>
      <w:bCs/>
      <w:smallCaps/>
      <w:color w:val="0F4761" w:themeColor="accent1" w:themeShade="BF"/>
      <w:spacing w:val="5"/>
    </w:rPr>
  </w:style>
  <w:style w:type="paragraph" w:styleId="Corpotesto">
    <w:name w:val="Body Text"/>
    <w:basedOn w:val="Normale"/>
    <w:link w:val="CorpotestoCarattere"/>
    <w:uiPriority w:val="1"/>
    <w:qFormat/>
    <w:rsid w:val="00FE5A5F"/>
    <w:pPr>
      <w:widowControl w:val="0"/>
      <w:autoSpaceDE w:val="0"/>
      <w:autoSpaceDN w:val="0"/>
      <w:spacing w:after="0" w:line="240" w:lineRule="auto"/>
      <w:ind w:left="140"/>
      <w:jc w:val="both"/>
    </w:pPr>
    <w:rPr>
      <w:rFonts w:ascii="Calibri" w:eastAsia="Calibri" w:hAnsi="Calibri" w:cs="Calibri"/>
      <w:kern w:val="0"/>
      <w:lang w:val="it-IT"/>
      <w14:ligatures w14:val="none"/>
    </w:rPr>
  </w:style>
  <w:style w:type="character" w:customStyle="1" w:styleId="CorpotestoCarattere">
    <w:name w:val="Corpo testo Carattere"/>
    <w:basedOn w:val="Carpredefinitoparagrafo"/>
    <w:link w:val="Corpotesto"/>
    <w:uiPriority w:val="1"/>
    <w:rsid w:val="00FE5A5F"/>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037330-85de-429f-8b6c-0615219c391a">
      <Terms xmlns="http://schemas.microsoft.com/office/infopath/2007/PartnerControls"/>
    </lcf76f155ced4ddcb4097134ff3c332f>
    <TaxCatchAll xmlns="536ad9ee-9176-4012-82b8-0d9dd599af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1AC8E93FC6C24780DB889633C185A4" ma:contentTypeVersion="13" ma:contentTypeDescription="Creare un nuovo documento." ma:contentTypeScope="" ma:versionID="fb4b5a5c3ce3ff5eaf4ec83ddc840b4d">
  <xsd:schema xmlns:xsd="http://www.w3.org/2001/XMLSchema" xmlns:xs="http://www.w3.org/2001/XMLSchema" xmlns:p="http://schemas.microsoft.com/office/2006/metadata/properties" xmlns:ns2="1b037330-85de-429f-8b6c-0615219c391a" xmlns:ns3="536ad9ee-9176-4012-82b8-0d9dd599af15" targetNamespace="http://schemas.microsoft.com/office/2006/metadata/properties" ma:root="true" ma:fieldsID="b37e849c3f24c6f6844c84249a91c294" ns2:_="" ns3:_="">
    <xsd:import namespace="1b037330-85de-429f-8b6c-0615219c391a"/>
    <xsd:import namespace="536ad9ee-9176-4012-82b8-0d9dd599af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37330-85de-429f-8b6c-0615219c3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f6c00d9-3d0a-4310-b35d-59694b7bbe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ad9ee-9176-4012-82b8-0d9dd599af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9bdf31-5476-49eb-b9e5-d8c4d6229da7}" ma:internalName="TaxCatchAll" ma:showField="CatchAllData" ma:web="536ad9ee-9176-4012-82b8-0d9dd599a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FFEA-1F5F-4EE1-8BA3-5DD51BC1FD48}">
  <ds:schemaRefs>
    <ds:schemaRef ds:uri="http://schemas.microsoft.com/office/2006/metadata/properties"/>
    <ds:schemaRef ds:uri="http://schemas.microsoft.com/office/infopath/2007/PartnerControls"/>
    <ds:schemaRef ds:uri="1b037330-85de-429f-8b6c-0615219c391a"/>
    <ds:schemaRef ds:uri="536ad9ee-9176-4012-82b8-0d9dd599af15"/>
  </ds:schemaRefs>
</ds:datastoreItem>
</file>

<file path=customXml/itemProps2.xml><?xml version="1.0" encoding="utf-8"?>
<ds:datastoreItem xmlns:ds="http://schemas.openxmlformats.org/officeDocument/2006/customXml" ds:itemID="{ECCB7612-5F40-4EB4-962A-BB9AFFA4637C}">
  <ds:schemaRefs>
    <ds:schemaRef ds:uri="http://schemas.microsoft.com/sharepoint/v3/contenttype/forms"/>
  </ds:schemaRefs>
</ds:datastoreItem>
</file>

<file path=customXml/itemProps3.xml><?xml version="1.0" encoding="utf-8"?>
<ds:datastoreItem xmlns:ds="http://schemas.openxmlformats.org/officeDocument/2006/customXml" ds:itemID="{392C7369-E90A-47CB-AD97-5B8095DB8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37330-85de-429f-8b6c-0615219c391a"/>
    <ds:schemaRef ds:uri="536ad9ee-9176-4012-82b8-0d9dd599a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F452D-B7A3-4633-A048-75590629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Lawfed 502</dc:creator>
  <cp:keywords/>
  <dc:description/>
  <cp:lastModifiedBy>Francesca</cp:lastModifiedBy>
  <cp:revision>7</cp:revision>
  <cp:lastPrinted>2025-04-03T15:01:00Z</cp:lastPrinted>
  <dcterms:created xsi:type="dcterms:W3CDTF">2025-04-03T14:30:00Z</dcterms:created>
  <dcterms:modified xsi:type="dcterms:W3CDTF">2025-04-10T08:15:00Z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0x010100401AC8E93FC6C24780DB889633C185A4</vt:lpwstr>
  </property>
  <property fmtid="{D5CDD505-2E9C-101B-9397-08002B2CF9AE}" pid="3" name="MediaServiceImageTags">
    <vt:lpwstr/>
  </property>
</Properties>
</file>