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D3" w:rsidRPr="003C17A6" w:rsidRDefault="001C4AD3" w:rsidP="001C4AD3">
      <w:pPr>
        <w:autoSpaceDE w:val="0"/>
        <w:autoSpaceDN w:val="0"/>
        <w:adjustRightInd w:val="0"/>
        <w:spacing w:line="480" w:lineRule="auto"/>
        <w:jc w:val="center"/>
        <w:rPr>
          <w:rFonts w:ascii="Bookman Old Style" w:hAnsi="Bookman Old Style"/>
        </w:rPr>
      </w:pPr>
      <w:r>
        <w:rPr>
          <w:rFonts w:ascii="Bookman Old Style" w:hAnsi="Bookman Old Style"/>
          <w:noProof/>
        </w:rPr>
        <w:drawing>
          <wp:inline distT="0" distB="0" distL="0" distR="0" wp14:anchorId="190E9515" wp14:editId="5F79FDD9">
            <wp:extent cx="771525" cy="866775"/>
            <wp:effectExtent l="0" t="0" r="9525" b="9525"/>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1C4AD3" w:rsidRDefault="001C4AD3" w:rsidP="001C4AD3">
      <w:pPr>
        <w:autoSpaceDE w:val="0"/>
        <w:autoSpaceDN w:val="0"/>
        <w:adjustRightInd w:val="0"/>
        <w:spacing w:line="480" w:lineRule="auto"/>
        <w:jc w:val="center"/>
        <w:rPr>
          <w:rFonts w:ascii="Bookman Old Style" w:hAnsi="Bookman Old Style"/>
          <w:b/>
        </w:rPr>
      </w:pPr>
    </w:p>
    <w:p w:rsidR="001C4AD3" w:rsidRPr="00E00057" w:rsidRDefault="001C4AD3" w:rsidP="001C4AD3">
      <w:pPr>
        <w:autoSpaceDE w:val="0"/>
        <w:autoSpaceDN w:val="0"/>
        <w:adjustRightInd w:val="0"/>
        <w:spacing w:line="480" w:lineRule="auto"/>
        <w:jc w:val="center"/>
        <w:rPr>
          <w:rFonts w:ascii="Bookman Old Style" w:hAnsi="Bookman Old Style"/>
          <w:b/>
          <w:sz w:val="28"/>
          <w:szCs w:val="28"/>
        </w:rPr>
      </w:pPr>
      <w:r w:rsidRPr="00E00057">
        <w:rPr>
          <w:rFonts w:ascii="Bookman Old Style" w:hAnsi="Bookman Old Style"/>
          <w:b/>
          <w:sz w:val="28"/>
          <w:szCs w:val="28"/>
        </w:rPr>
        <w:t>TRIBUNALE DI MILANO</w:t>
      </w:r>
    </w:p>
    <w:p w:rsidR="001C4AD3" w:rsidRPr="00E00057" w:rsidRDefault="001C4AD3" w:rsidP="001C4AD3">
      <w:pPr>
        <w:autoSpaceDE w:val="0"/>
        <w:autoSpaceDN w:val="0"/>
        <w:adjustRightInd w:val="0"/>
        <w:spacing w:line="480" w:lineRule="auto"/>
        <w:jc w:val="center"/>
        <w:rPr>
          <w:rFonts w:ascii="Bookman Old Style" w:hAnsi="Bookman Old Style"/>
          <w:sz w:val="28"/>
          <w:szCs w:val="28"/>
        </w:rPr>
      </w:pPr>
      <w:r w:rsidRPr="00E00057">
        <w:rPr>
          <w:rFonts w:ascii="Bookman Old Style" w:hAnsi="Bookman Old Style"/>
          <w:sz w:val="28"/>
          <w:szCs w:val="28"/>
        </w:rPr>
        <w:t>SEZIONE TERZA CIVILE</w:t>
      </w:r>
    </w:p>
    <w:p w:rsidR="001C4AD3" w:rsidRDefault="001C4AD3" w:rsidP="001C4AD3">
      <w:pPr>
        <w:autoSpaceDE w:val="0"/>
        <w:autoSpaceDN w:val="0"/>
        <w:adjustRightInd w:val="0"/>
        <w:spacing w:line="480" w:lineRule="auto"/>
        <w:jc w:val="center"/>
        <w:rPr>
          <w:rFonts w:ascii="Bookman Old Style" w:hAnsi="Bookman Old Style"/>
        </w:rPr>
      </w:pPr>
    </w:p>
    <w:p w:rsidR="001C4AD3" w:rsidRDefault="001C4AD3" w:rsidP="001C4AD3">
      <w:pPr>
        <w:autoSpaceDE w:val="0"/>
        <w:autoSpaceDN w:val="0"/>
        <w:adjustRightInd w:val="0"/>
        <w:spacing w:line="480" w:lineRule="auto"/>
        <w:jc w:val="center"/>
        <w:rPr>
          <w:rFonts w:ascii="Bookman Old Style" w:hAnsi="Bookman Old Style"/>
        </w:rPr>
      </w:pPr>
    </w:p>
    <w:p w:rsidR="001C4AD3"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ISTRUZIONI E LINEE GUIDA PER CUSTODI E PROFESSIONISTI DELEGATI ALLE VENDITE IMMOBILIARI</w:t>
      </w:r>
    </w:p>
    <w:p w:rsidR="001C4AD3" w:rsidRDefault="001C4AD3" w:rsidP="001C4AD3">
      <w:pPr>
        <w:autoSpaceDE w:val="0"/>
        <w:autoSpaceDN w:val="0"/>
        <w:adjustRightInd w:val="0"/>
        <w:spacing w:line="480" w:lineRule="auto"/>
        <w:jc w:val="both"/>
        <w:rPr>
          <w:rFonts w:ascii="Bookman Old Style" w:hAnsi="Bookman Old Style"/>
        </w:rPr>
      </w:pPr>
    </w:p>
    <w:p w:rsidR="001C4AD3" w:rsidRDefault="001C4AD3" w:rsidP="001C4AD3">
      <w:pPr>
        <w:autoSpaceDE w:val="0"/>
        <w:autoSpaceDN w:val="0"/>
        <w:adjustRightInd w:val="0"/>
        <w:spacing w:line="480" w:lineRule="auto"/>
        <w:jc w:val="center"/>
        <w:rPr>
          <w:rFonts w:ascii="Bookman Old Style" w:hAnsi="Bookman Old Style"/>
        </w:rPr>
      </w:pPr>
      <w:r>
        <w:rPr>
          <w:rFonts w:ascii="Bookman Old Style" w:hAnsi="Bookman Old Style"/>
        </w:rPr>
        <w:t xml:space="preserve">I Giudici dell’esecuzione </w:t>
      </w:r>
    </w:p>
    <w:p w:rsidR="001C4AD3" w:rsidRDefault="001C4AD3" w:rsidP="001C4AD3">
      <w:pPr>
        <w:autoSpaceDE w:val="0"/>
        <w:autoSpaceDN w:val="0"/>
        <w:adjustRightInd w:val="0"/>
        <w:spacing w:line="480" w:lineRule="auto"/>
        <w:jc w:val="center"/>
        <w:rPr>
          <w:rFonts w:ascii="Bookman Old Style" w:hAnsi="Bookman Old Style"/>
        </w:rPr>
      </w:pPr>
    </w:p>
    <w:p w:rsidR="001C4AD3" w:rsidRDefault="001C4AD3"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viste</w:t>
      </w:r>
      <w:proofErr w:type="gramEnd"/>
      <w:r>
        <w:rPr>
          <w:rFonts w:ascii="Bookman Old Style" w:hAnsi="Bookman Old Style"/>
        </w:rPr>
        <w:t xml:space="preserve"> le disposizioni di cui al decreto legge n. 1</w:t>
      </w:r>
      <w:r w:rsidR="00CA4F70">
        <w:rPr>
          <w:rFonts w:ascii="Bookman Old Style" w:hAnsi="Bookman Old Style"/>
        </w:rPr>
        <w:t>8</w:t>
      </w:r>
      <w:r>
        <w:rPr>
          <w:rFonts w:ascii="Bookman Old Style" w:hAnsi="Bookman Old Style"/>
        </w:rPr>
        <w:t xml:space="preserve"> del 2020, in cui si prevede il rinvio d’ufficio delle udienze fissate </w:t>
      </w:r>
      <w:r w:rsidRPr="000B44BA">
        <w:rPr>
          <w:rFonts w:ascii="Bookman Old Style" w:hAnsi="Bookman Old Style"/>
          <w:u w:val="single"/>
        </w:rPr>
        <w:t xml:space="preserve">fino al </w:t>
      </w:r>
      <w:r w:rsidR="00CA4F70">
        <w:rPr>
          <w:rFonts w:ascii="Bookman Old Style" w:hAnsi="Bookman Old Style"/>
          <w:u w:val="single"/>
        </w:rPr>
        <w:t>15 aprile</w:t>
      </w:r>
      <w:r w:rsidRPr="000B44BA">
        <w:rPr>
          <w:rFonts w:ascii="Bookman Old Style" w:hAnsi="Bookman Old Style"/>
          <w:u w:val="single"/>
        </w:rPr>
        <w:t xml:space="preserve"> 2020</w:t>
      </w:r>
      <w:r>
        <w:rPr>
          <w:rFonts w:ascii="Bookman Old Style" w:hAnsi="Bookman Old Style"/>
        </w:rPr>
        <w:t>, ad eccezione di quelle di carattere urgente come ivi specificato;</w:t>
      </w:r>
    </w:p>
    <w:p w:rsidR="001C4AD3" w:rsidRDefault="001C4AD3"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preso</w:t>
      </w:r>
      <w:proofErr w:type="gramEnd"/>
      <w:r>
        <w:rPr>
          <w:rFonts w:ascii="Bookman Old Style" w:hAnsi="Bookman Old Style"/>
        </w:rPr>
        <w:t xml:space="preserve"> atto altresì del DPCM 8 marzo 2020, che all’art. 1, primo comma, </w:t>
      </w:r>
      <w:proofErr w:type="spellStart"/>
      <w:r>
        <w:rPr>
          <w:rFonts w:ascii="Bookman Old Style" w:hAnsi="Bookman Old Style"/>
        </w:rPr>
        <w:t>lett</w:t>
      </w:r>
      <w:proofErr w:type="spellEnd"/>
      <w:r>
        <w:rPr>
          <w:rFonts w:ascii="Bookman Old Style" w:hAnsi="Bookman Old Style"/>
        </w:rPr>
        <w:t xml:space="preserve">. a), prescrive di </w:t>
      </w:r>
      <w:r w:rsidRPr="000F0BAF">
        <w:rPr>
          <w:rFonts w:ascii="Bookman Old Style" w:hAnsi="Bookman Old Style"/>
          <w:i/>
        </w:rPr>
        <w:t>“evitare ogni spostamento delle persone fisiche in entrata e in uscita dai territori di cui al presente articolo, nonché all’interno dei medesimi territori, salvo che per gli spostamenti motivati da comprovate esigenze lavorative o situazioni di necessità ovvero spostamenti per motivi di salute”</w:t>
      </w:r>
      <w:r>
        <w:rPr>
          <w:rFonts w:ascii="Bookman Old Style" w:hAnsi="Bookman Old Style"/>
        </w:rPr>
        <w:t xml:space="preserve"> e ciò </w:t>
      </w:r>
      <w:r w:rsidRPr="000B44BA">
        <w:rPr>
          <w:rFonts w:ascii="Bookman Old Style" w:hAnsi="Bookman Old Style"/>
          <w:u w:val="single"/>
        </w:rPr>
        <w:t>fino al 3 aprile 2020</w:t>
      </w:r>
      <w:r w:rsidR="001E30EC">
        <w:rPr>
          <w:rFonts w:ascii="Bookman Old Style" w:hAnsi="Bookman Old Style"/>
        </w:rPr>
        <w:t xml:space="preserve"> (art. 5, primo comma) e tenuto conto che dalle informazioni</w:t>
      </w:r>
      <w:r w:rsidR="00A93011">
        <w:rPr>
          <w:rFonts w:ascii="Bookman Old Style" w:hAnsi="Bookman Old Style"/>
        </w:rPr>
        <w:t xml:space="preserve"> diffuse dai mezzi di comunicazione</w:t>
      </w:r>
      <w:r w:rsidR="001E30EC">
        <w:rPr>
          <w:rFonts w:ascii="Bookman Old Style" w:hAnsi="Bookman Old Style"/>
        </w:rPr>
        <w:t xml:space="preserve"> sembra che detto termine stia per essere prolungato;</w:t>
      </w:r>
    </w:p>
    <w:p w:rsidR="001C4AD3" w:rsidRDefault="001C4AD3"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ritenuto</w:t>
      </w:r>
      <w:proofErr w:type="gramEnd"/>
      <w:r>
        <w:rPr>
          <w:rFonts w:ascii="Bookman Old Style" w:hAnsi="Bookman Old Style"/>
        </w:rPr>
        <w:t xml:space="preserve"> che l’indicazione del rinvio delle udienze di cui al ricordato decreto legge debba comprendere anche le gare di vendita (come si ricava dalla disposizione di </w:t>
      </w:r>
      <w:r>
        <w:rPr>
          <w:rFonts w:ascii="Bookman Old Style" w:hAnsi="Bookman Old Style"/>
        </w:rPr>
        <w:lastRenderedPageBreak/>
        <w:t xml:space="preserve">cui all’art. 631, primo comma, </w:t>
      </w:r>
      <w:proofErr w:type="spellStart"/>
      <w:r>
        <w:rPr>
          <w:rFonts w:ascii="Bookman Old Style" w:hAnsi="Bookman Old Style"/>
        </w:rPr>
        <w:t>cpc</w:t>
      </w:r>
      <w:proofErr w:type="spellEnd"/>
      <w:r>
        <w:rPr>
          <w:rFonts w:ascii="Bookman Old Style" w:hAnsi="Bookman Old Style"/>
        </w:rPr>
        <w:t>) e l’approvazione dei riparti demandata al professionista delegato</w:t>
      </w:r>
      <w:r w:rsidR="001E30EC">
        <w:rPr>
          <w:rFonts w:ascii="Bookman Old Style" w:hAnsi="Bookman Old Style"/>
        </w:rPr>
        <w:t>, oltre che le udienze nelle procedure esecutive mobiliari</w:t>
      </w:r>
      <w:r>
        <w:rPr>
          <w:rFonts w:ascii="Bookman Old Style" w:hAnsi="Bookman Old Style"/>
        </w:rPr>
        <w:t xml:space="preserve">; </w:t>
      </w:r>
    </w:p>
    <w:p w:rsidR="001C4AD3" w:rsidRDefault="001C4AD3"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considerato</w:t>
      </w:r>
      <w:proofErr w:type="gramEnd"/>
      <w:r>
        <w:rPr>
          <w:rFonts w:ascii="Bookman Old Style" w:hAnsi="Bookman Old Style"/>
        </w:rPr>
        <w:t xml:space="preserve"> inoltre che le limitazioni alla mobilità volte al contenimento del contagio previste fino al 3 aprile 2020 dal ricordato DPCM</w:t>
      </w:r>
      <w:r w:rsidR="001E30EC">
        <w:rPr>
          <w:rFonts w:ascii="Bookman Old Style" w:hAnsi="Bookman Old Style"/>
        </w:rPr>
        <w:t xml:space="preserve"> (che con ogni probabilità verranno prolungate)</w:t>
      </w:r>
      <w:r>
        <w:rPr>
          <w:rFonts w:ascii="Bookman Old Style" w:hAnsi="Bookman Old Style"/>
        </w:rPr>
        <w:t xml:space="preserve">, appaiono preclusive di </w:t>
      </w:r>
      <w:r w:rsidR="007059E8">
        <w:rPr>
          <w:rFonts w:ascii="Bookman Old Style" w:hAnsi="Bookman Old Style"/>
        </w:rPr>
        <w:t xml:space="preserve">alcune </w:t>
      </w:r>
      <w:r>
        <w:rPr>
          <w:rFonts w:ascii="Bookman Old Style" w:hAnsi="Bookman Old Style"/>
        </w:rPr>
        <w:t>attività di custodi e professionisti delegati;</w:t>
      </w:r>
    </w:p>
    <w:p w:rsidR="00461806" w:rsidRDefault="00461806"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ritenuto</w:t>
      </w:r>
      <w:proofErr w:type="gramEnd"/>
      <w:r>
        <w:rPr>
          <w:rFonts w:ascii="Bookman Old Style" w:hAnsi="Bookman Old Style"/>
        </w:rPr>
        <w:t xml:space="preserve"> che le restrizioni alle attività degli ausiliari legate ai pericoli di contagio comportano il rischio di vendite non proficue</w:t>
      </w:r>
      <w:r w:rsidR="001E30EC">
        <w:rPr>
          <w:rFonts w:ascii="Bookman Old Style" w:hAnsi="Bookman Old Style"/>
        </w:rPr>
        <w:t>, o suscettibili di interferenze da parte di speculatori non corretti</w:t>
      </w:r>
      <w:r>
        <w:rPr>
          <w:rFonts w:ascii="Bookman Old Style" w:hAnsi="Bookman Old Style"/>
        </w:rPr>
        <w:t>;</w:t>
      </w:r>
    </w:p>
    <w:p w:rsidR="00EA5C70" w:rsidRDefault="00EA5C70"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avuto</w:t>
      </w:r>
      <w:proofErr w:type="gramEnd"/>
      <w:r>
        <w:rPr>
          <w:rFonts w:ascii="Bookman Old Style" w:hAnsi="Bookman Old Style"/>
        </w:rPr>
        <w:t xml:space="preserve"> inoltre riguardo alle priorità legate all’esigenza di scongiurare la propagazione del contagio;</w:t>
      </w:r>
    </w:p>
    <w:p w:rsidR="001C4AD3" w:rsidRDefault="001C4AD3" w:rsidP="001C4AD3">
      <w:pPr>
        <w:autoSpaceDE w:val="0"/>
        <w:autoSpaceDN w:val="0"/>
        <w:adjustRightInd w:val="0"/>
        <w:spacing w:line="480" w:lineRule="auto"/>
        <w:jc w:val="both"/>
        <w:rPr>
          <w:rFonts w:ascii="Bookman Old Style" w:hAnsi="Bookman Old Style"/>
        </w:rPr>
      </w:pPr>
      <w:proofErr w:type="gramStart"/>
      <w:r>
        <w:rPr>
          <w:rFonts w:ascii="Bookman Old Style" w:hAnsi="Bookman Old Style"/>
        </w:rPr>
        <w:t>riservata</w:t>
      </w:r>
      <w:proofErr w:type="gramEnd"/>
      <w:r>
        <w:rPr>
          <w:rFonts w:ascii="Bookman Old Style" w:hAnsi="Bookman Old Style"/>
        </w:rPr>
        <w:t xml:space="preserve"> ogni diversa determinazione in prosieguo, in attesa delle determinazioni del Presidente del Tribunale,</w:t>
      </w:r>
      <w:r w:rsidR="00461806">
        <w:rPr>
          <w:rFonts w:ascii="Bookman Old Style" w:hAnsi="Bookman Old Style"/>
        </w:rPr>
        <w:t xml:space="preserve"> e dell’evoluzione della situazione di emergenza,</w:t>
      </w:r>
    </w:p>
    <w:p w:rsidR="001C4AD3" w:rsidRPr="00E00057" w:rsidRDefault="001C4AD3" w:rsidP="001C4AD3">
      <w:pPr>
        <w:autoSpaceDE w:val="0"/>
        <w:autoSpaceDN w:val="0"/>
        <w:adjustRightInd w:val="0"/>
        <w:spacing w:line="480" w:lineRule="auto"/>
        <w:jc w:val="center"/>
        <w:rPr>
          <w:rFonts w:ascii="Bookman Old Style" w:hAnsi="Bookman Old Style"/>
          <w:b/>
        </w:rPr>
      </w:pPr>
      <w:proofErr w:type="gramStart"/>
      <w:r w:rsidRPr="00E00057">
        <w:rPr>
          <w:rFonts w:ascii="Bookman Old Style" w:hAnsi="Bookman Old Style"/>
          <w:b/>
        </w:rPr>
        <w:t>così</w:t>
      </w:r>
      <w:proofErr w:type="gramEnd"/>
      <w:r w:rsidRPr="00E00057">
        <w:rPr>
          <w:rFonts w:ascii="Bookman Old Style" w:hAnsi="Bookman Old Style"/>
          <w:b/>
        </w:rPr>
        <w:t xml:space="preserve"> dispongono</w:t>
      </w:r>
    </w:p>
    <w:p w:rsidR="001E30EC"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 xml:space="preserve">saranno rinviate d’ufficio a cura del professionista delegato </w:t>
      </w:r>
      <w:r w:rsidRPr="00215451">
        <w:rPr>
          <w:rFonts w:ascii="Bookman Old Style" w:hAnsi="Bookman Old Style"/>
        </w:rPr>
        <w:t>le udienze di approvazione del riparto</w:t>
      </w:r>
      <w:r>
        <w:rPr>
          <w:rFonts w:ascii="Bookman Old Style" w:hAnsi="Bookman Old Style"/>
        </w:rPr>
        <w:t xml:space="preserve"> fissate fino al </w:t>
      </w:r>
      <w:r w:rsidR="00CA4F70" w:rsidRPr="00EA5C70">
        <w:rPr>
          <w:rFonts w:ascii="Bookman Old Style" w:hAnsi="Bookman Old Style"/>
          <w:u w:val="single"/>
        </w:rPr>
        <w:t>15 aprile</w:t>
      </w:r>
      <w:r w:rsidRPr="00EA5C70">
        <w:rPr>
          <w:rFonts w:ascii="Bookman Old Style" w:hAnsi="Bookman Old Style"/>
          <w:u w:val="single"/>
        </w:rPr>
        <w:t xml:space="preserve"> 2020</w:t>
      </w:r>
      <w:r w:rsidR="001E30EC">
        <w:rPr>
          <w:rFonts w:ascii="Bookman Old Style" w:hAnsi="Bookman Old Style"/>
        </w:rPr>
        <w:t xml:space="preserve">; saranno dichiarati approvati i piani di riparto solo nel caso in cui </w:t>
      </w:r>
      <w:r w:rsidR="00CA4F70">
        <w:rPr>
          <w:rFonts w:ascii="Bookman Old Style" w:hAnsi="Bookman Old Style"/>
        </w:rPr>
        <w:t>tutte le parti, compreso il debitore, abbiano formulato dichiarazione espressa di approvazione</w:t>
      </w:r>
      <w:r w:rsidR="001E30EC">
        <w:rPr>
          <w:rFonts w:ascii="Bookman Old Style" w:hAnsi="Bookman Old Style"/>
        </w:rPr>
        <w:t xml:space="preserve"> e rinuncia all’opposizione</w:t>
      </w:r>
      <w:r w:rsidR="00CA4F70">
        <w:rPr>
          <w:rFonts w:ascii="Bookman Old Style" w:hAnsi="Bookman Old Style"/>
        </w:rPr>
        <w:t xml:space="preserve">; </w:t>
      </w:r>
    </w:p>
    <w:p w:rsidR="001C4AD3" w:rsidRDefault="001E30EC"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 le udienze di approvazione del riparto fissate in data successiva al 15 aprile 2020 avanti al professionista delegato saranno trattate in via cartolare solo nelle procedure in cui anche il debitore sia costituito; </w:t>
      </w:r>
      <w:r w:rsidR="00CA4F70">
        <w:rPr>
          <w:rFonts w:ascii="Bookman Old Style" w:hAnsi="Bookman Old Style"/>
        </w:rPr>
        <w:t xml:space="preserve">in tal caso il professionista delegato </w:t>
      </w:r>
      <w:r>
        <w:rPr>
          <w:rFonts w:ascii="Bookman Old Style" w:hAnsi="Bookman Old Style"/>
        </w:rPr>
        <w:t>assegnerà termine alle parti per l’invio di contestazione a mezzo PEC</w:t>
      </w:r>
      <w:r w:rsidR="00595903">
        <w:rPr>
          <w:rFonts w:ascii="Bookman Old Style" w:hAnsi="Bookman Old Style"/>
        </w:rPr>
        <w:t>;</w:t>
      </w:r>
      <w:r>
        <w:rPr>
          <w:rFonts w:ascii="Bookman Old Style" w:hAnsi="Bookman Old Style"/>
        </w:rPr>
        <w:t xml:space="preserve"> in assenza </w:t>
      </w:r>
      <w:r w:rsidR="00595903">
        <w:rPr>
          <w:rFonts w:ascii="Bookman Old Style" w:hAnsi="Bookman Old Style"/>
        </w:rPr>
        <w:t>di contestazioni</w:t>
      </w:r>
      <w:r w:rsidR="00EA5C70" w:rsidRPr="00EA5C70">
        <w:rPr>
          <w:rFonts w:ascii="Bookman Old Style" w:hAnsi="Bookman Old Style"/>
        </w:rPr>
        <w:t xml:space="preserve"> </w:t>
      </w:r>
      <w:r w:rsidR="00EA5C70">
        <w:rPr>
          <w:rFonts w:ascii="Bookman Old Style" w:hAnsi="Bookman Old Style"/>
        </w:rPr>
        <w:t>entro il termine assegnato</w:t>
      </w:r>
      <w:r w:rsidR="00595903">
        <w:rPr>
          <w:rFonts w:ascii="Bookman Old Style" w:hAnsi="Bookman Old Style"/>
        </w:rPr>
        <w:t xml:space="preserve"> il</w:t>
      </w:r>
      <w:r w:rsidR="00CA4F70">
        <w:rPr>
          <w:rFonts w:ascii="Bookman Old Style" w:hAnsi="Bookman Old Style"/>
        </w:rPr>
        <w:t xml:space="preserve"> piano di riparto</w:t>
      </w:r>
      <w:r w:rsidR="00EA5C70">
        <w:rPr>
          <w:rFonts w:ascii="Bookman Old Style" w:hAnsi="Bookman Old Style"/>
        </w:rPr>
        <w:t xml:space="preserve"> </w:t>
      </w:r>
      <w:r w:rsidR="00595903">
        <w:rPr>
          <w:rFonts w:ascii="Bookman Old Style" w:hAnsi="Bookman Old Style"/>
        </w:rPr>
        <w:t xml:space="preserve">sarà </w:t>
      </w:r>
      <w:r w:rsidR="00AC7D8B">
        <w:rPr>
          <w:rFonts w:ascii="Bookman Old Style" w:hAnsi="Bookman Old Style"/>
        </w:rPr>
        <w:t>dichiarato</w:t>
      </w:r>
      <w:r w:rsidR="00EA5C70">
        <w:rPr>
          <w:rFonts w:ascii="Bookman Old Style" w:hAnsi="Bookman Old Style"/>
        </w:rPr>
        <w:t xml:space="preserve"> </w:t>
      </w:r>
      <w:r w:rsidR="00595903">
        <w:rPr>
          <w:rFonts w:ascii="Bookman Old Style" w:hAnsi="Bookman Old Style"/>
        </w:rPr>
        <w:t>approvato</w:t>
      </w:r>
      <w:r w:rsidR="001C4AD3">
        <w:rPr>
          <w:rFonts w:ascii="Bookman Old Style" w:hAnsi="Bookman Old Style"/>
        </w:rPr>
        <w:t>;</w:t>
      </w:r>
    </w:p>
    <w:p w:rsidR="00595903" w:rsidRDefault="00595903" w:rsidP="001C4AD3">
      <w:pPr>
        <w:autoSpaceDE w:val="0"/>
        <w:autoSpaceDN w:val="0"/>
        <w:adjustRightInd w:val="0"/>
        <w:spacing w:line="480" w:lineRule="auto"/>
        <w:jc w:val="both"/>
        <w:rPr>
          <w:rFonts w:ascii="Bookman Old Style" w:hAnsi="Bookman Old Style"/>
        </w:rPr>
      </w:pPr>
      <w:r>
        <w:rPr>
          <w:rFonts w:ascii="Bookman Old Style" w:hAnsi="Bookman Old Style"/>
        </w:rPr>
        <w:lastRenderedPageBreak/>
        <w:t xml:space="preserve">- il professionista delegato </w:t>
      </w:r>
      <w:r w:rsidR="00AC7D8B">
        <w:rPr>
          <w:rFonts w:ascii="Bookman Old Style" w:hAnsi="Bookman Old Style"/>
        </w:rPr>
        <w:t xml:space="preserve">in ogni attività </w:t>
      </w:r>
      <w:r>
        <w:rPr>
          <w:rFonts w:ascii="Bookman Old Style" w:hAnsi="Bookman Old Style"/>
        </w:rPr>
        <w:t xml:space="preserve">dovrà </w:t>
      </w:r>
      <w:r w:rsidR="00AC7D8B">
        <w:rPr>
          <w:rFonts w:ascii="Bookman Old Style" w:hAnsi="Bookman Old Style"/>
        </w:rPr>
        <w:t xml:space="preserve">sempre </w:t>
      </w:r>
      <w:r>
        <w:rPr>
          <w:rFonts w:ascii="Bookman Old Style" w:hAnsi="Bookman Old Style"/>
        </w:rPr>
        <w:t>tenere conto della sospensione dei termini processuali prevista dai decreti legge che si sono succeduti nel tempo;</w:t>
      </w:r>
    </w:p>
    <w:p w:rsidR="001C4AD3" w:rsidRPr="00215451"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sono</w:t>
      </w:r>
      <w:r w:rsidRPr="00215451">
        <w:rPr>
          <w:rFonts w:ascii="Bookman Old Style" w:hAnsi="Bookman Old Style"/>
        </w:rPr>
        <w:t xml:space="preserve"> revoca</w:t>
      </w:r>
      <w:r>
        <w:rPr>
          <w:rFonts w:ascii="Bookman Old Style" w:hAnsi="Bookman Old Style"/>
        </w:rPr>
        <w:t>ti</w:t>
      </w:r>
      <w:r w:rsidRPr="00215451">
        <w:rPr>
          <w:rFonts w:ascii="Bookman Old Style" w:hAnsi="Bookman Old Style"/>
        </w:rPr>
        <w:t xml:space="preserve"> tutti gli esperimenti d’asta fissati fino al </w:t>
      </w:r>
      <w:r w:rsidR="00CA4F70" w:rsidRPr="00AC7D8B">
        <w:rPr>
          <w:rFonts w:ascii="Bookman Old Style" w:hAnsi="Bookman Old Style"/>
          <w:u w:val="single"/>
        </w:rPr>
        <w:t>30 giugno</w:t>
      </w:r>
      <w:r w:rsidRPr="00AC7D8B">
        <w:rPr>
          <w:rFonts w:ascii="Bookman Old Style" w:hAnsi="Bookman Old Style"/>
          <w:u w:val="single"/>
        </w:rPr>
        <w:t xml:space="preserve"> 2020</w:t>
      </w:r>
      <w:r>
        <w:rPr>
          <w:rFonts w:ascii="Bookman Old Style" w:hAnsi="Bookman Old Style"/>
        </w:rPr>
        <w:t xml:space="preserve"> </w:t>
      </w:r>
      <w:r w:rsidRPr="00215451">
        <w:rPr>
          <w:rFonts w:ascii="Bookman Old Style" w:hAnsi="Bookman Old Style"/>
        </w:rPr>
        <w:t>compres</w:t>
      </w:r>
      <w:r>
        <w:rPr>
          <w:rFonts w:ascii="Bookman Old Style" w:hAnsi="Bookman Old Style"/>
        </w:rPr>
        <w:t xml:space="preserve">o; il professionista delegato inserirà avviso della revoca </w:t>
      </w:r>
      <w:r w:rsidRPr="00215451">
        <w:rPr>
          <w:rFonts w:ascii="Bookman Old Style" w:hAnsi="Bookman Old Style"/>
        </w:rPr>
        <w:t>sul portale vendite pubbliche e sui siti indicati per la pubblicità</w:t>
      </w:r>
      <w:r>
        <w:rPr>
          <w:rFonts w:ascii="Bookman Old Style" w:hAnsi="Bookman Old Style"/>
        </w:rPr>
        <w:t xml:space="preserve"> nell’ordinanza che ha delegato la vendita (con esclusione dunque della pubblicità su quotidiani o periodici per ragioni di tempestività);</w:t>
      </w:r>
    </w:p>
    <w:p w:rsidR="001C4AD3" w:rsidRPr="00215451"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non vanno accettate le offerte per le stesse gare;</w:t>
      </w:r>
    </w:p>
    <w:p w:rsidR="001C4AD3" w:rsidRPr="00215451"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il</w:t>
      </w:r>
      <w:r w:rsidRPr="00215451">
        <w:rPr>
          <w:rFonts w:ascii="Bookman Old Style" w:hAnsi="Bookman Old Style"/>
        </w:rPr>
        <w:t xml:space="preserve"> delegato</w:t>
      </w:r>
      <w:r>
        <w:rPr>
          <w:rFonts w:ascii="Bookman Old Style" w:hAnsi="Bookman Old Style"/>
        </w:rPr>
        <w:t xml:space="preserve"> non</w:t>
      </w:r>
      <w:r w:rsidRPr="00215451">
        <w:rPr>
          <w:rFonts w:ascii="Bookman Old Style" w:hAnsi="Bookman Old Style"/>
        </w:rPr>
        <w:t xml:space="preserve"> ammett</w:t>
      </w:r>
      <w:r>
        <w:rPr>
          <w:rFonts w:ascii="Bookman Old Style" w:hAnsi="Bookman Old Style"/>
        </w:rPr>
        <w:t>erà</w:t>
      </w:r>
      <w:r w:rsidRPr="00215451">
        <w:rPr>
          <w:rFonts w:ascii="Bookman Old Style" w:hAnsi="Bookman Old Style"/>
        </w:rPr>
        <w:t xml:space="preserve"> gli offerenti all’udienza d</w:t>
      </w:r>
      <w:r>
        <w:rPr>
          <w:rFonts w:ascii="Bookman Old Style" w:hAnsi="Bookman Old Style"/>
        </w:rPr>
        <w:t>ella</w:t>
      </w:r>
      <w:r w:rsidRPr="00215451">
        <w:rPr>
          <w:rFonts w:ascii="Bookman Old Style" w:hAnsi="Bookman Old Style"/>
        </w:rPr>
        <w:t xml:space="preserve"> gara </w:t>
      </w:r>
      <w:r>
        <w:rPr>
          <w:rFonts w:ascii="Bookman Old Style" w:hAnsi="Bookman Old Style"/>
        </w:rPr>
        <w:t>revocata, e aprirà</w:t>
      </w:r>
      <w:r w:rsidRPr="00215451">
        <w:rPr>
          <w:rFonts w:ascii="Bookman Old Style" w:hAnsi="Bookman Old Style"/>
        </w:rPr>
        <w:t xml:space="preserve"> le buste eventualmente già pervenute al solo fine di </w:t>
      </w:r>
      <w:r>
        <w:rPr>
          <w:rFonts w:ascii="Bookman Old Style" w:hAnsi="Bookman Old Style"/>
        </w:rPr>
        <w:t>provvedere</w:t>
      </w:r>
      <w:r w:rsidRPr="00215451">
        <w:rPr>
          <w:rFonts w:ascii="Bookman Old Style" w:hAnsi="Bookman Old Style"/>
        </w:rPr>
        <w:t xml:space="preserve"> alla restituzione della cauzione, convocando gli interessati in orari dilazionati, ove necessario</w:t>
      </w:r>
      <w:r>
        <w:rPr>
          <w:rFonts w:ascii="Bookman Old Style" w:hAnsi="Bookman Old Style"/>
        </w:rPr>
        <w:t>,</w:t>
      </w:r>
      <w:r w:rsidRPr="00215451">
        <w:rPr>
          <w:rFonts w:ascii="Bookman Old Style" w:hAnsi="Bookman Old Style"/>
        </w:rPr>
        <w:t xml:space="preserve"> per consentire il rispetto delle note prescrizioni cautelative volte ad evitare il contagio</w:t>
      </w:r>
      <w:r>
        <w:rPr>
          <w:rFonts w:ascii="Bookman Old Style" w:hAnsi="Bookman Old Style"/>
        </w:rPr>
        <w:t>;</w:t>
      </w:r>
    </w:p>
    <w:p w:rsidR="001C4AD3"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sono sospese le seguenti attività</w:t>
      </w:r>
      <w:r w:rsidRPr="00215451">
        <w:rPr>
          <w:rFonts w:ascii="Bookman Old Style" w:hAnsi="Bookman Old Style"/>
        </w:rPr>
        <w:t xml:space="preserve"> fino al </w:t>
      </w:r>
      <w:r w:rsidRPr="00AC7D8B">
        <w:rPr>
          <w:rFonts w:ascii="Bookman Old Style" w:hAnsi="Bookman Old Style"/>
          <w:u w:val="single"/>
        </w:rPr>
        <w:t>3</w:t>
      </w:r>
      <w:r w:rsidR="00CA4F70" w:rsidRPr="00AC7D8B">
        <w:rPr>
          <w:rFonts w:ascii="Bookman Old Style" w:hAnsi="Bookman Old Style"/>
          <w:u w:val="single"/>
        </w:rPr>
        <w:t>0 giugno</w:t>
      </w:r>
      <w:r w:rsidR="00595903" w:rsidRPr="00AC7D8B">
        <w:rPr>
          <w:rFonts w:ascii="Bookman Old Style" w:hAnsi="Bookman Old Style"/>
          <w:u w:val="single"/>
        </w:rPr>
        <w:t xml:space="preserve"> 2020</w:t>
      </w:r>
      <w:r>
        <w:rPr>
          <w:rFonts w:ascii="Bookman Old Style" w:hAnsi="Bookman Old Style"/>
        </w:rPr>
        <w:t>:</w:t>
      </w:r>
      <w:r w:rsidRPr="00215451">
        <w:rPr>
          <w:rFonts w:ascii="Bookman Old Style" w:hAnsi="Bookman Old Style"/>
        </w:rPr>
        <w:t xml:space="preserve"> </w:t>
      </w:r>
    </w:p>
    <w:p w:rsidR="001C4AD3" w:rsidRPr="00215451"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 - i</w:t>
      </w:r>
      <w:r w:rsidRPr="00215451">
        <w:rPr>
          <w:rFonts w:ascii="Bookman Old Style" w:hAnsi="Bookman Old Style"/>
        </w:rPr>
        <w:t xml:space="preserve">l deposito degli avvisi di vendita, e </w:t>
      </w:r>
      <w:r>
        <w:rPr>
          <w:rFonts w:ascii="Bookman Old Style" w:hAnsi="Bookman Old Style"/>
        </w:rPr>
        <w:t xml:space="preserve">l’esecuzione </w:t>
      </w:r>
      <w:r w:rsidRPr="00215451">
        <w:rPr>
          <w:rFonts w:ascii="Bookman Old Style" w:hAnsi="Bookman Old Style"/>
        </w:rPr>
        <w:t xml:space="preserve">della pubblicità </w:t>
      </w:r>
      <w:r>
        <w:rPr>
          <w:rFonts w:ascii="Bookman Old Style" w:hAnsi="Bookman Old Style"/>
        </w:rPr>
        <w:t>per</w:t>
      </w:r>
      <w:r w:rsidRPr="00215451">
        <w:rPr>
          <w:rFonts w:ascii="Bookman Old Style" w:hAnsi="Bookman Old Style"/>
        </w:rPr>
        <w:t xml:space="preserve"> quelli già depositati</w:t>
      </w:r>
      <w:r>
        <w:rPr>
          <w:rFonts w:ascii="Bookman Old Style" w:hAnsi="Bookman Old Style"/>
        </w:rPr>
        <w:t>;</w:t>
      </w:r>
    </w:p>
    <w:p w:rsidR="001C4AD3" w:rsidRPr="00215451"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 xml:space="preserve">- - </w:t>
      </w:r>
      <w:r w:rsidRPr="00215451">
        <w:rPr>
          <w:rFonts w:ascii="Bookman Old Style" w:hAnsi="Bookman Old Style"/>
        </w:rPr>
        <w:t>gli accessi di custode e stimatore presso gli immobili staggiti</w:t>
      </w:r>
    </w:p>
    <w:p w:rsidR="001C4AD3" w:rsidRPr="00215451" w:rsidRDefault="001C4AD3" w:rsidP="001C4AD3">
      <w:pPr>
        <w:autoSpaceDE w:val="0"/>
        <w:autoSpaceDN w:val="0"/>
        <w:adjustRightInd w:val="0"/>
        <w:spacing w:line="480" w:lineRule="auto"/>
        <w:jc w:val="both"/>
        <w:rPr>
          <w:rFonts w:ascii="Bookman Old Style" w:hAnsi="Bookman Old Style"/>
        </w:rPr>
      </w:pPr>
      <w:r w:rsidRPr="00215451">
        <w:rPr>
          <w:rFonts w:ascii="Bookman Old Style" w:hAnsi="Bookman Old Style"/>
        </w:rPr>
        <w:t xml:space="preserve">- </w:t>
      </w:r>
      <w:r>
        <w:rPr>
          <w:rFonts w:ascii="Bookman Old Style" w:hAnsi="Bookman Old Style"/>
        </w:rPr>
        <w:t>- - le</w:t>
      </w:r>
      <w:r w:rsidRPr="00215451">
        <w:rPr>
          <w:rFonts w:ascii="Bookman Old Style" w:hAnsi="Bookman Old Style"/>
        </w:rPr>
        <w:t xml:space="preserve"> visite degli immobili</w:t>
      </w:r>
      <w:r>
        <w:rPr>
          <w:rFonts w:ascii="Bookman Old Style" w:hAnsi="Bookman Old Style"/>
        </w:rPr>
        <w:t>; sarà conseguentemente revocata la vendita già programmata, anche se ricadente in data successiva (avviso della revoca da pubblicizzarsi con le modalità già descritte);</w:t>
      </w:r>
    </w:p>
    <w:p w:rsidR="001C4AD3"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 saranno </w:t>
      </w:r>
      <w:r w:rsidR="00461806">
        <w:rPr>
          <w:rFonts w:ascii="Bookman Old Style" w:hAnsi="Bookman Old Style"/>
        </w:rPr>
        <w:t>sospese le attività di</w:t>
      </w:r>
      <w:r>
        <w:rPr>
          <w:rFonts w:ascii="Bookman Old Style" w:hAnsi="Bookman Old Style"/>
        </w:rPr>
        <w:t xml:space="preserve"> liberazione degli immobili </w:t>
      </w:r>
      <w:r w:rsidR="00461806">
        <w:rPr>
          <w:rFonts w:ascii="Bookman Old Style" w:hAnsi="Bookman Old Style"/>
        </w:rPr>
        <w:t xml:space="preserve">fino al </w:t>
      </w:r>
      <w:r w:rsidR="00595903" w:rsidRPr="00AC7D8B">
        <w:rPr>
          <w:rFonts w:ascii="Bookman Old Style" w:hAnsi="Bookman Old Style"/>
          <w:u w:val="single"/>
        </w:rPr>
        <w:t>31 maggio 2020</w:t>
      </w:r>
      <w:r w:rsidR="00461806">
        <w:rPr>
          <w:rFonts w:ascii="Bookman Old Style" w:hAnsi="Bookman Old Style"/>
        </w:rPr>
        <w:t>, salvo rilasci spontanei</w:t>
      </w:r>
      <w:r>
        <w:rPr>
          <w:rFonts w:ascii="Bookman Old Style" w:hAnsi="Bookman Old Style"/>
        </w:rPr>
        <w:t xml:space="preserve">; </w:t>
      </w:r>
    </w:p>
    <w:p w:rsidR="00461806" w:rsidRDefault="00461806"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 i termini per il saldo prezzo che scadono tra la data odierna e il </w:t>
      </w:r>
      <w:r w:rsidR="004659F6" w:rsidRPr="00AC7D8B">
        <w:rPr>
          <w:rFonts w:ascii="Bookman Old Style" w:hAnsi="Bookman Old Style"/>
          <w:u w:val="single"/>
        </w:rPr>
        <w:t>15 aprile</w:t>
      </w:r>
      <w:r w:rsidRPr="00AC7D8B">
        <w:rPr>
          <w:rFonts w:ascii="Bookman Old Style" w:hAnsi="Bookman Old Style"/>
          <w:u w:val="single"/>
        </w:rPr>
        <w:t xml:space="preserve"> 2020</w:t>
      </w:r>
      <w:r>
        <w:rPr>
          <w:rFonts w:ascii="Bookman Old Style" w:hAnsi="Bookman Old Style"/>
        </w:rPr>
        <w:t xml:space="preserve"> s</w:t>
      </w:r>
      <w:r w:rsidR="007059E8">
        <w:rPr>
          <w:rFonts w:ascii="Bookman Old Style" w:hAnsi="Bookman Old Style"/>
        </w:rPr>
        <w:t>i intend</w:t>
      </w:r>
      <w:r>
        <w:rPr>
          <w:rFonts w:ascii="Bookman Old Style" w:hAnsi="Bookman Old Style"/>
        </w:rPr>
        <w:t>ono prorogati per il periodo corrispondente alla sospensione</w:t>
      </w:r>
      <w:r w:rsidR="007059E8">
        <w:rPr>
          <w:rFonts w:ascii="Bookman Old Style" w:hAnsi="Bookman Old Style"/>
        </w:rPr>
        <w:t>;</w:t>
      </w:r>
    </w:p>
    <w:p w:rsidR="004659F6" w:rsidRDefault="004659F6" w:rsidP="001C4AD3">
      <w:pPr>
        <w:autoSpaceDE w:val="0"/>
        <w:autoSpaceDN w:val="0"/>
        <w:adjustRightInd w:val="0"/>
        <w:spacing w:line="480" w:lineRule="auto"/>
        <w:jc w:val="both"/>
        <w:rPr>
          <w:rFonts w:ascii="Bookman Old Style" w:hAnsi="Bookman Old Style"/>
        </w:rPr>
      </w:pPr>
      <w:r>
        <w:rPr>
          <w:rFonts w:ascii="Bookman Old Style" w:hAnsi="Bookman Old Style"/>
        </w:rPr>
        <w:lastRenderedPageBreak/>
        <w:t xml:space="preserve">- le stesse limitazioni si applicano alle </w:t>
      </w:r>
      <w:r w:rsidR="00595903" w:rsidRPr="00595903">
        <w:rPr>
          <w:rFonts w:ascii="Bookman Old Style" w:hAnsi="Bookman Old Style"/>
          <w:u w:val="single"/>
        </w:rPr>
        <w:t>corrispondenti attività nelle cause di scioglimento delle comunioni immobiliari</w:t>
      </w:r>
      <w:r w:rsidR="00595903">
        <w:rPr>
          <w:rFonts w:ascii="Bookman Old Style" w:hAnsi="Bookman Old Style"/>
        </w:rPr>
        <w:t xml:space="preserve"> e alle </w:t>
      </w:r>
      <w:r w:rsidR="00595903" w:rsidRPr="00595903">
        <w:rPr>
          <w:rFonts w:ascii="Bookman Old Style" w:hAnsi="Bookman Old Style"/>
          <w:u w:val="single"/>
        </w:rPr>
        <w:t xml:space="preserve">procedure esecutive </w:t>
      </w:r>
      <w:r w:rsidRPr="00595903">
        <w:rPr>
          <w:rFonts w:ascii="Bookman Old Style" w:hAnsi="Bookman Old Style"/>
          <w:u w:val="single"/>
        </w:rPr>
        <w:t>mobiliari</w:t>
      </w:r>
      <w:r>
        <w:rPr>
          <w:rFonts w:ascii="Bookman Old Style" w:hAnsi="Bookman Old Style"/>
        </w:rPr>
        <w:t>;</w:t>
      </w:r>
    </w:p>
    <w:p w:rsidR="00595903" w:rsidRDefault="004659F6"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 </w:t>
      </w:r>
      <w:r w:rsidR="00595903">
        <w:rPr>
          <w:rFonts w:ascii="Bookman Old Style" w:hAnsi="Bookman Old Style"/>
        </w:rPr>
        <w:t xml:space="preserve">le udienze nelle </w:t>
      </w:r>
      <w:r w:rsidR="00595903" w:rsidRPr="00595903">
        <w:rPr>
          <w:rFonts w:ascii="Bookman Old Style" w:hAnsi="Bookman Old Style"/>
          <w:u w:val="single"/>
        </w:rPr>
        <w:t>procedure esecutive presso terzi</w:t>
      </w:r>
      <w:r w:rsidR="00595903">
        <w:rPr>
          <w:rFonts w:ascii="Bookman Old Style" w:hAnsi="Bookman Old Style"/>
        </w:rPr>
        <w:t xml:space="preserve"> fissate fino alla data del </w:t>
      </w:r>
      <w:r w:rsidR="00595903" w:rsidRPr="00AC7D8B">
        <w:rPr>
          <w:rFonts w:ascii="Bookman Old Style" w:hAnsi="Bookman Old Style"/>
          <w:u w:val="single"/>
        </w:rPr>
        <w:t>15 aprile 2020</w:t>
      </w:r>
      <w:r w:rsidR="00AC7D8B" w:rsidRPr="00AC7D8B">
        <w:rPr>
          <w:rFonts w:ascii="Bookman Old Style" w:hAnsi="Bookman Old Style"/>
        </w:rPr>
        <w:t>,</w:t>
      </w:r>
      <w:r w:rsidR="00595903">
        <w:rPr>
          <w:rFonts w:ascii="Bookman Old Style" w:hAnsi="Bookman Old Style"/>
        </w:rPr>
        <w:t xml:space="preserve"> </w:t>
      </w:r>
      <w:r w:rsidR="00AC7D8B">
        <w:rPr>
          <w:rFonts w:ascii="Bookman Old Style" w:hAnsi="Bookman Old Style"/>
        </w:rPr>
        <w:t>tenuto conto del diritto del debitore di comparire personalmente all’udienza</w:t>
      </w:r>
      <w:r w:rsidR="00AC7D8B">
        <w:rPr>
          <w:rFonts w:ascii="Bookman Old Style" w:hAnsi="Bookman Old Style"/>
        </w:rPr>
        <w:t xml:space="preserve">, </w:t>
      </w:r>
      <w:r w:rsidR="00595903">
        <w:rPr>
          <w:rFonts w:ascii="Bookman Old Style" w:hAnsi="Bookman Old Style"/>
        </w:rPr>
        <w:t xml:space="preserve">saranno tutte rinviate, e la comunicazione </w:t>
      </w:r>
      <w:r w:rsidR="00AC7D8B">
        <w:rPr>
          <w:rFonts w:ascii="Bookman Old Style" w:hAnsi="Bookman Old Style"/>
        </w:rPr>
        <w:t xml:space="preserve">del rinvio </w:t>
      </w:r>
      <w:r w:rsidR="00595903">
        <w:rPr>
          <w:rFonts w:ascii="Bookman Old Style" w:hAnsi="Bookman Old Style"/>
        </w:rPr>
        <w:t>verrà effettuata tempo per tempo dalla cancelleria.</w:t>
      </w:r>
    </w:p>
    <w:p w:rsidR="00AC7D8B" w:rsidRDefault="00AC7D8B" w:rsidP="001C4AD3">
      <w:pPr>
        <w:autoSpaceDE w:val="0"/>
        <w:autoSpaceDN w:val="0"/>
        <w:adjustRightInd w:val="0"/>
        <w:spacing w:line="480" w:lineRule="auto"/>
        <w:jc w:val="both"/>
        <w:rPr>
          <w:rFonts w:ascii="Bookman Old Style" w:hAnsi="Bookman Old Style"/>
        </w:rPr>
      </w:pPr>
    </w:p>
    <w:p w:rsidR="001C4AD3"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Il provvedimento - adottato unanimemente da tutti i </w:t>
      </w:r>
      <w:proofErr w:type="spellStart"/>
      <w:r>
        <w:rPr>
          <w:rFonts w:ascii="Bookman Old Style" w:hAnsi="Bookman Old Style"/>
        </w:rPr>
        <w:t>g.e</w:t>
      </w:r>
      <w:proofErr w:type="spellEnd"/>
      <w:r>
        <w:rPr>
          <w:rFonts w:ascii="Bookman Old Style" w:hAnsi="Bookman Old Style"/>
        </w:rPr>
        <w:t xml:space="preserve">. della </w:t>
      </w:r>
      <w:r w:rsidR="00AC7D8B">
        <w:rPr>
          <w:rFonts w:ascii="Bookman Old Style" w:hAnsi="Bookman Old Style"/>
        </w:rPr>
        <w:t>Sezio</w:t>
      </w:r>
      <w:bookmarkStart w:id="0" w:name="_GoBack"/>
      <w:bookmarkEnd w:id="0"/>
      <w:r w:rsidR="00AC7D8B">
        <w:rPr>
          <w:rFonts w:ascii="Bookman Old Style" w:hAnsi="Bookman Old Style"/>
        </w:rPr>
        <w:t>ne</w:t>
      </w:r>
      <w:r>
        <w:rPr>
          <w:rFonts w:ascii="Bookman Old Style" w:hAnsi="Bookman Old Style"/>
        </w:rPr>
        <w:t>, previa consultazione a distanza - viene inviato per posta elettronica (indirizzi istituzionali) dalla Presidente a</w:t>
      </w:r>
      <w:r w:rsidR="004659F6">
        <w:rPr>
          <w:rFonts w:ascii="Bookman Old Style" w:hAnsi="Bookman Old Style"/>
        </w:rPr>
        <w:t>i</w:t>
      </w:r>
      <w:r>
        <w:rPr>
          <w:rFonts w:ascii="Bookman Old Style" w:hAnsi="Bookman Old Style"/>
        </w:rPr>
        <w:t xml:space="preserve"> Dirigent</w:t>
      </w:r>
      <w:r w:rsidR="004659F6">
        <w:rPr>
          <w:rFonts w:ascii="Bookman Old Style" w:hAnsi="Bookman Old Style"/>
        </w:rPr>
        <w:t>i delle</w:t>
      </w:r>
      <w:r>
        <w:rPr>
          <w:rFonts w:ascii="Bookman Old Style" w:hAnsi="Bookman Old Style"/>
        </w:rPr>
        <w:t xml:space="preserve"> cancelleri</w:t>
      </w:r>
      <w:r w:rsidR="004659F6">
        <w:rPr>
          <w:rFonts w:ascii="Bookman Old Style" w:hAnsi="Bookman Old Style"/>
        </w:rPr>
        <w:t>e</w:t>
      </w:r>
      <w:r>
        <w:rPr>
          <w:rFonts w:ascii="Bookman Old Style" w:hAnsi="Bookman Old Style"/>
        </w:rPr>
        <w:t xml:space="preserve"> delle esecuzioni immobiliari</w:t>
      </w:r>
      <w:r w:rsidR="004659F6">
        <w:rPr>
          <w:rFonts w:ascii="Bookman Old Style" w:hAnsi="Bookman Old Style"/>
        </w:rPr>
        <w:t xml:space="preserve"> e mobiliari</w:t>
      </w:r>
      <w:r>
        <w:rPr>
          <w:rFonts w:ascii="Bookman Old Style" w:hAnsi="Bookman Old Style"/>
        </w:rPr>
        <w:t>, per l’apposizione dell’attestazione di deposito.</w:t>
      </w:r>
    </w:p>
    <w:p w:rsidR="001C4AD3"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Il decreto deve intendersi emesso in ciascuna delle procedure esecutive pendenti avanti alla Sezione, e sarà allegato in copia alla prossima relazione periodica </w:t>
      </w:r>
      <w:r w:rsidR="008866D8">
        <w:rPr>
          <w:rFonts w:ascii="Bookman Old Style" w:hAnsi="Bookman Old Style"/>
        </w:rPr>
        <w:t xml:space="preserve">da </w:t>
      </w:r>
      <w:proofErr w:type="spellStart"/>
      <w:r w:rsidR="008866D8">
        <w:rPr>
          <w:rFonts w:ascii="Bookman Old Style" w:hAnsi="Bookman Old Style"/>
        </w:rPr>
        <w:t>Sivag</w:t>
      </w:r>
      <w:proofErr w:type="spellEnd"/>
      <w:r w:rsidR="008866D8">
        <w:rPr>
          <w:rFonts w:ascii="Bookman Old Style" w:hAnsi="Bookman Old Style"/>
        </w:rPr>
        <w:t xml:space="preserve">, </w:t>
      </w:r>
      <w:r>
        <w:rPr>
          <w:rFonts w:ascii="Bookman Old Style" w:hAnsi="Bookman Old Style"/>
        </w:rPr>
        <w:t>dal custode o dal professionista delegato.</w:t>
      </w:r>
      <w:r w:rsidRPr="00215451">
        <w:rPr>
          <w:rFonts w:ascii="Bookman Old Style" w:hAnsi="Bookman Old Style"/>
        </w:rPr>
        <w:t xml:space="preserve"> </w:t>
      </w:r>
    </w:p>
    <w:p w:rsidR="004659F6" w:rsidRDefault="004659F6" w:rsidP="001C4AD3">
      <w:pPr>
        <w:autoSpaceDE w:val="0"/>
        <w:autoSpaceDN w:val="0"/>
        <w:adjustRightInd w:val="0"/>
        <w:spacing w:line="480" w:lineRule="auto"/>
        <w:jc w:val="both"/>
        <w:rPr>
          <w:rFonts w:ascii="Bookman Old Style" w:hAnsi="Bookman Old Style"/>
        </w:rPr>
      </w:pPr>
    </w:p>
    <w:p w:rsidR="001C4AD3" w:rsidRPr="00215451"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Il provvedimento è</w:t>
      </w:r>
      <w:r w:rsidRPr="00215451">
        <w:rPr>
          <w:rFonts w:ascii="Bookman Old Style" w:hAnsi="Bookman Old Style"/>
        </w:rPr>
        <w:t xml:space="preserve"> comunicat</w:t>
      </w:r>
      <w:r>
        <w:rPr>
          <w:rFonts w:ascii="Bookman Old Style" w:hAnsi="Bookman Old Style"/>
        </w:rPr>
        <w:t>o</w:t>
      </w:r>
      <w:r w:rsidRPr="00215451">
        <w:rPr>
          <w:rFonts w:ascii="Bookman Old Style" w:hAnsi="Bookman Old Style"/>
        </w:rPr>
        <w:t xml:space="preserve"> agli Ordini professionali</w:t>
      </w:r>
      <w:r>
        <w:rPr>
          <w:rFonts w:ascii="Bookman Old Style" w:hAnsi="Bookman Old Style"/>
        </w:rPr>
        <w:t xml:space="preserve"> – tramite ciascun referente per le procedure esecutive individuali - per la diffusione ai rispettivi aderenti</w:t>
      </w:r>
      <w:r w:rsidRPr="00215451">
        <w:rPr>
          <w:rFonts w:ascii="Bookman Old Style" w:hAnsi="Bookman Old Style"/>
        </w:rPr>
        <w:t xml:space="preserve">, a </w:t>
      </w:r>
      <w:proofErr w:type="spellStart"/>
      <w:r w:rsidRPr="00215451">
        <w:rPr>
          <w:rFonts w:ascii="Bookman Old Style" w:hAnsi="Bookman Old Style"/>
        </w:rPr>
        <w:t>Sivag</w:t>
      </w:r>
      <w:proofErr w:type="spellEnd"/>
      <w:r w:rsidRPr="00215451">
        <w:rPr>
          <w:rFonts w:ascii="Bookman Old Style" w:hAnsi="Bookman Old Style"/>
        </w:rPr>
        <w:t xml:space="preserve">, e </w:t>
      </w:r>
      <w:r>
        <w:rPr>
          <w:rFonts w:ascii="Bookman Old Style" w:hAnsi="Bookman Old Style"/>
        </w:rPr>
        <w:t xml:space="preserve">se ne dispone </w:t>
      </w:r>
      <w:r w:rsidRPr="00215451">
        <w:rPr>
          <w:rFonts w:ascii="Bookman Old Style" w:hAnsi="Bookman Old Style"/>
        </w:rPr>
        <w:t xml:space="preserve">l’affissione </w:t>
      </w:r>
      <w:r>
        <w:rPr>
          <w:rFonts w:ascii="Bookman Old Style" w:hAnsi="Bookman Old Style"/>
        </w:rPr>
        <w:t>nelle bacheche</w:t>
      </w:r>
      <w:r w:rsidRPr="00215451">
        <w:rPr>
          <w:rFonts w:ascii="Bookman Old Style" w:hAnsi="Bookman Old Style"/>
        </w:rPr>
        <w:t>.</w:t>
      </w:r>
    </w:p>
    <w:p w:rsidR="001C4AD3" w:rsidRDefault="001C4AD3" w:rsidP="001C4AD3">
      <w:pPr>
        <w:autoSpaceDE w:val="0"/>
        <w:autoSpaceDN w:val="0"/>
        <w:adjustRightInd w:val="0"/>
        <w:spacing w:line="480" w:lineRule="auto"/>
        <w:jc w:val="both"/>
        <w:rPr>
          <w:rFonts w:ascii="Bookman Old Style" w:hAnsi="Bookman Old Style"/>
        </w:rPr>
      </w:pPr>
      <w:r>
        <w:rPr>
          <w:rFonts w:ascii="Bookman Old Style" w:hAnsi="Bookman Old Style"/>
        </w:rPr>
        <w:t xml:space="preserve">Milano, </w:t>
      </w:r>
      <w:r w:rsidR="00A93011">
        <w:rPr>
          <w:rFonts w:ascii="Bookman Old Style" w:hAnsi="Bookman Old Style"/>
        </w:rPr>
        <w:t>20</w:t>
      </w:r>
      <w:r>
        <w:rPr>
          <w:rFonts w:ascii="Bookman Old Style" w:hAnsi="Bookman Old Style"/>
        </w:rPr>
        <w:t xml:space="preserve"> marzo 2020.</w:t>
      </w:r>
    </w:p>
    <w:p w:rsidR="001C4AD3" w:rsidRDefault="001C4AD3" w:rsidP="001C4AD3">
      <w:pPr>
        <w:autoSpaceDE w:val="0"/>
        <w:autoSpaceDN w:val="0"/>
        <w:adjustRightInd w:val="0"/>
        <w:jc w:val="center"/>
        <w:rPr>
          <w:rFonts w:ascii="Bookman Old Style" w:hAnsi="Bookman Old Style"/>
        </w:rPr>
      </w:pPr>
      <w:r>
        <w:rPr>
          <w:rFonts w:ascii="Bookman Old Style" w:hAnsi="Bookman Old Style"/>
        </w:rPr>
        <w:t>Il giudici dell’esecuzione immobiliare</w:t>
      </w:r>
    </w:p>
    <w:p w:rsidR="001C4AD3" w:rsidRDefault="001C4AD3" w:rsidP="001C4AD3">
      <w:pPr>
        <w:autoSpaceDE w:val="0"/>
        <w:autoSpaceDN w:val="0"/>
        <w:adjustRightInd w:val="0"/>
        <w:jc w:val="center"/>
        <w:rPr>
          <w:rFonts w:ascii="Bookman Old Style" w:hAnsi="Bookman Old Style"/>
          <w:i/>
        </w:rPr>
      </w:pPr>
      <w:r>
        <w:rPr>
          <w:rFonts w:ascii="Bookman Old Style" w:hAnsi="Bookman Old Style"/>
          <w:i/>
        </w:rPr>
        <w:t>Marianna Galioto</w:t>
      </w:r>
    </w:p>
    <w:p w:rsidR="001C4AD3" w:rsidRDefault="001C4AD3" w:rsidP="001C4AD3">
      <w:pPr>
        <w:autoSpaceDE w:val="0"/>
        <w:autoSpaceDN w:val="0"/>
        <w:adjustRightInd w:val="0"/>
        <w:jc w:val="center"/>
        <w:rPr>
          <w:rFonts w:ascii="Bookman Old Style" w:hAnsi="Bookman Old Style"/>
          <w:i/>
        </w:rPr>
      </w:pPr>
      <w:r>
        <w:rPr>
          <w:rFonts w:ascii="Bookman Old Style" w:hAnsi="Bookman Old Style"/>
          <w:i/>
        </w:rPr>
        <w:t xml:space="preserve">Maria Gabriella </w:t>
      </w:r>
      <w:proofErr w:type="spellStart"/>
      <w:r>
        <w:rPr>
          <w:rFonts w:ascii="Bookman Old Style" w:hAnsi="Bookman Old Style"/>
          <w:i/>
        </w:rPr>
        <w:t>Mennuni</w:t>
      </w:r>
      <w:proofErr w:type="spellEnd"/>
    </w:p>
    <w:p w:rsidR="001C4AD3" w:rsidRPr="004B103A"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Simona Caterbi</w:t>
      </w:r>
    </w:p>
    <w:p w:rsidR="001C4AD3" w:rsidRPr="004B103A"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Simonetta Scirpo</w:t>
      </w:r>
    </w:p>
    <w:p w:rsidR="001C4AD3"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Caterina Trentini</w:t>
      </w:r>
    </w:p>
    <w:p w:rsidR="001C4AD3" w:rsidRPr="004B103A"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 xml:space="preserve">Giuseppe </w:t>
      </w:r>
      <w:proofErr w:type="spellStart"/>
      <w:r w:rsidRPr="004B103A">
        <w:rPr>
          <w:rFonts w:ascii="Bookman Old Style" w:hAnsi="Bookman Old Style"/>
          <w:i/>
        </w:rPr>
        <w:t>Fiengo</w:t>
      </w:r>
      <w:proofErr w:type="spellEnd"/>
    </w:p>
    <w:p w:rsidR="001C4AD3"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Roberto Angelini</w:t>
      </w:r>
    </w:p>
    <w:p w:rsidR="001C4AD3" w:rsidRPr="004B103A" w:rsidRDefault="001C4AD3" w:rsidP="001C4AD3">
      <w:pPr>
        <w:autoSpaceDE w:val="0"/>
        <w:autoSpaceDN w:val="0"/>
        <w:adjustRightInd w:val="0"/>
        <w:jc w:val="center"/>
        <w:rPr>
          <w:rFonts w:ascii="Bookman Old Style" w:hAnsi="Bookman Old Style"/>
          <w:i/>
        </w:rPr>
      </w:pPr>
      <w:proofErr w:type="spellStart"/>
      <w:r w:rsidRPr="004B103A">
        <w:rPr>
          <w:rFonts w:ascii="Bookman Old Style" w:hAnsi="Bookman Old Style"/>
          <w:i/>
        </w:rPr>
        <w:t>Idamaria</w:t>
      </w:r>
      <w:proofErr w:type="spellEnd"/>
      <w:r w:rsidRPr="004B103A">
        <w:rPr>
          <w:rFonts w:ascii="Bookman Old Style" w:hAnsi="Bookman Old Style"/>
          <w:i/>
        </w:rPr>
        <w:t xml:space="preserve"> </w:t>
      </w:r>
      <w:proofErr w:type="spellStart"/>
      <w:r w:rsidRPr="004B103A">
        <w:rPr>
          <w:rFonts w:ascii="Bookman Old Style" w:hAnsi="Bookman Old Style"/>
          <w:i/>
        </w:rPr>
        <w:t>Chieffo</w:t>
      </w:r>
      <w:proofErr w:type="spellEnd"/>
    </w:p>
    <w:p w:rsidR="001C4AD3"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Giacomo Puricelli</w:t>
      </w:r>
    </w:p>
    <w:p w:rsidR="001C4AD3" w:rsidRDefault="001C4AD3" w:rsidP="001C4AD3">
      <w:pPr>
        <w:autoSpaceDE w:val="0"/>
        <w:autoSpaceDN w:val="0"/>
        <w:adjustRightInd w:val="0"/>
        <w:jc w:val="center"/>
        <w:rPr>
          <w:rFonts w:ascii="Bookman Old Style" w:hAnsi="Bookman Old Style"/>
          <w:i/>
        </w:rPr>
      </w:pPr>
      <w:r w:rsidRPr="004B103A">
        <w:rPr>
          <w:rFonts w:ascii="Bookman Old Style" w:hAnsi="Bookman Old Style"/>
          <w:i/>
        </w:rPr>
        <w:t>Silvia Vaghi</w:t>
      </w:r>
    </w:p>
    <w:p w:rsidR="00AC7D92" w:rsidRDefault="00AC7D92"/>
    <w:sectPr w:rsidR="00AC7D9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B9" w:rsidRDefault="00EB54B9">
      <w:r>
        <w:separator/>
      </w:r>
    </w:p>
  </w:endnote>
  <w:endnote w:type="continuationSeparator" w:id="0">
    <w:p w:rsidR="00EB54B9" w:rsidRDefault="00EB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18" w:rsidRDefault="007059E8">
    <w:pPr>
      <w:pStyle w:val="Pidipagina"/>
    </w:pPr>
    <w:r>
      <w:t xml:space="preserve">Pagina </w:t>
    </w:r>
    <w:r>
      <w:rPr>
        <w:rStyle w:val="Numeropagina"/>
      </w:rPr>
      <w:fldChar w:fldCharType="begin"/>
    </w:r>
    <w:r>
      <w:rPr>
        <w:rStyle w:val="Numeropagina"/>
      </w:rPr>
      <w:instrText xml:space="preserve"> PAGE </w:instrText>
    </w:r>
    <w:r>
      <w:rPr>
        <w:rStyle w:val="Numeropagina"/>
      </w:rPr>
      <w:fldChar w:fldCharType="separate"/>
    </w:r>
    <w:r w:rsidR="00AC7D8B">
      <w:rPr>
        <w:rStyle w:val="Numeropagina"/>
        <w:noProof/>
      </w:rPr>
      <w:t>4</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B9" w:rsidRDefault="00EB54B9">
      <w:r>
        <w:separator/>
      </w:r>
    </w:p>
  </w:footnote>
  <w:footnote w:type="continuationSeparator" w:id="0">
    <w:p w:rsidR="00EB54B9" w:rsidRDefault="00EB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D3"/>
    <w:rsid w:val="001C4AD3"/>
    <w:rsid w:val="001E30EC"/>
    <w:rsid w:val="003919C1"/>
    <w:rsid w:val="00461806"/>
    <w:rsid w:val="004659F6"/>
    <w:rsid w:val="00595903"/>
    <w:rsid w:val="007059E8"/>
    <w:rsid w:val="007D5016"/>
    <w:rsid w:val="008866D8"/>
    <w:rsid w:val="00A93011"/>
    <w:rsid w:val="00AC7D8B"/>
    <w:rsid w:val="00AC7D92"/>
    <w:rsid w:val="00BB7030"/>
    <w:rsid w:val="00CA4F70"/>
    <w:rsid w:val="00EA5C70"/>
    <w:rsid w:val="00EB54B9"/>
    <w:rsid w:val="00F84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CDE57-6376-4ACC-801E-1A47FF44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A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4AD3"/>
    <w:pPr>
      <w:tabs>
        <w:tab w:val="center" w:pos="4819"/>
        <w:tab w:val="right" w:pos="9638"/>
      </w:tabs>
    </w:pPr>
  </w:style>
  <w:style w:type="character" w:customStyle="1" w:styleId="PidipaginaCarattere">
    <w:name w:val="Piè di pagina Carattere"/>
    <w:basedOn w:val="Carpredefinitoparagrafo"/>
    <w:link w:val="Pidipagina"/>
    <w:rsid w:val="001C4AD3"/>
    <w:rPr>
      <w:rFonts w:ascii="Times New Roman" w:eastAsia="Times New Roman" w:hAnsi="Times New Roman" w:cs="Times New Roman"/>
      <w:sz w:val="24"/>
      <w:szCs w:val="24"/>
      <w:lang w:eastAsia="it-IT"/>
    </w:rPr>
  </w:style>
  <w:style w:type="character" w:styleId="Numeropagina">
    <w:name w:val="page number"/>
    <w:basedOn w:val="Carpredefinitoparagrafo"/>
    <w:rsid w:val="001C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Galioto</dc:creator>
  <cp:keywords/>
  <dc:description/>
  <cp:lastModifiedBy>Marianna Galioto</cp:lastModifiedBy>
  <cp:revision>4</cp:revision>
  <dcterms:created xsi:type="dcterms:W3CDTF">2020-03-18T07:49:00Z</dcterms:created>
  <dcterms:modified xsi:type="dcterms:W3CDTF">2020-03-20T09:10:00Z</dcterms:modified>
</cp:coreProperties>
</file>